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263F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附件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2 合同条款及格式</w:t>
      </w:r>
    </w:p>
    <w:p w14:paraId="61D2179B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7464AA7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  <w:t>河池市宜州区北山镇规模化供水工程</w:t>
      </w:r>
    </w:p>
    <w:p w14:paraId="409F09D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宋体" w:hAnsi="宋体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水质检测合同</w:t>
      </w:r>
    </w:p>
    <w:p w14:paraId="47E5217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宋体" w:hAnsi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5E87FD9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宋体" w:hAnsi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263089F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宋体" w:hAnsi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09C2B09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宋体" w:hAnsi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1E1E184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宋体" w:hAnsi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4B9C322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宋体" w:hAnsi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587463B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宋体" w:hAnsi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 w14:paraId="146DD55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1147" w:firstLineChars="381"/>
        <w:textAlignment w:val="auto"/>
        <w:rPr>
          <w:rFonts w:hint="default" w:eastAsia="宋体" w:asciiTheme="minorEastAsia" w:hAnsiTheme="minorEastAsia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甲方：</w:t>
      </w:r>
      <w:r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  <w:t>河池市城投城市运营管理有限公司</w:t>
      </w:r>
    </w:p>
    <w:p w14:paraId="3219D6B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1147" w:firstLineChars="381"/>
        <w:textAlignment w:val="auto"/>
        <w:rPr>
          <w:rFonts w:hint="default" w:ascii="宋体" w:hAnsi="宋体" w:eastAsia="宋体"/>
          <w:b/>
          <w:bCs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乙方：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</w:t>
      </w:r>
    </w:p>
    <w:p w14:paraId="28081EF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1147" w:firstLineChars="381"/>
        <w:textAlignment w:val="auto"/>
        <w:rPr>
          <w:rFonts w:hint="default" w:ascii="宋体" w:hAnsi="宋体" w:eastAsia="宋体"/>
          <w:b/>
          <w:bCs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签约地点：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</w:t>
      </w:r>
    </w:p>
    <w:p w14:paraId="1C4F606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1147" w:firstLineChars="381"/>
        <w:textAlignment w:val="auto"/>
        <w:rPr>
          <w:rFonts w:hint="default" w:ascii="宋体" w:hAnsi="宋体" w:eastAsia="宋体"/>
          <w:b/>
          <w:bCs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签订日期：</w:t>
      </w:r>
      <w:r>
        <w:rPr>
          <w:rFonts w:ascii="宋体" w:hAnsi="宋体"/>
          <w:b/>
          <w:bCs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月  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</w:p>
    <w:p w14:paraId="4D5210C5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79BEE98F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2B4CEC46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68CC9BEC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295F5B78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3FC68F75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3164CF53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66ED7461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503CBFD4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527982AC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6535A166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0385CB04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06342B7D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591EC8C4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0A92AC51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77B1116B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02173EAA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2A304392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3EC8CCF6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3D6F40D5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53A09AD6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2C88FD8C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558F2E2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河池市宜州区北山镇规模化供水工程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水质检测合同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  <w:t>协议书</w:t>
      </w:r>
    </w:p>
    <w:p w14:paraId="27D8868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jc w:val="both"/>
        <w:textAlignment w:val="auto"/>
        <w:rPr>
          <w:rFonts w:ascii="宋体" w:cs="宋体"/>
        </w:rPr>
      </w:pPr>
    </w:p>
    <w:p w14:paraId="0A2A058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Theme="minorEastAsia" w:hAnsiTheme="minorEastAsia"/>
          <w:color w:val="000000" w:themeColor="text1"/>
          <w:sz w:val="28"/>
          <w:szCs w:val="28"/>
          <w:u w:val="singl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</w:rPr>
        <w:t>甲方：</w:t>
      </w:r>
      <w:r>
        <w:rPr>
          <w:rFonts w:hint="eastAsia" w:ascii="仿宋" w:hAnsi="仿宋" w:eastAsia="仿宋" w:cs="宋体"/>
          <w:b w:val="0"/>
          <w:bCs w:val="0"/>
          <w:color w:val="000000"/>
          <w:sz w:val="28"/>
          <w:szCs w:val="28"/>
          <w:u w:val="single"/>
          <w:lang w:val="en-US" w:eastAsia="zh-CN"/>
        </w:rPr>
        <w:t>河池市城投城市运营管理有限公司</w:t>
      </w:r>
    </w:p>
    <w:p w14:paraId="0F1B842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仿宋" w:hAnsi="仿宋" w:eastAsia="仿宋" w:cs="宋体"/>
          <w:b/>
          <w:bCs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</w:rPr>
        <w:t>乙方：</w:t>
      </w:r>
      <w:r>
        <w:rPr>
          <w:rFonts w:hint="eastAsia" w:ascii="仿宋" w:hAnsi="仿宋" w:eastAsia="仿宋" w:cs="宋体"/>
          <w:b/>
          <w:bCs/>
          <w:color w:val="000000"/>
          <w:sz w:val="28"/>
          <w:szCs w:val="28"/>
          <w:u w:val="single"/>
          <w:lang w:val="en-US" w:eastAsia="zh-CN"/>
        </w:rPr>
        <w:t xml:space="preserve">                              </w:t>
      </w:r>
    </w:p>
    <w:p w14:paraId="6B11515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ascii="宋体" w:cs="宋体"/>
          <w:sz w:val="28"/>
          <w:szCs w:val="28"/>
        </w:rPr>
      </w:pPr>
      <w:r>
        <w:rPr>
          <w:rFonts w:ascii="仿宋" w:hAnsi="仿宋" w:eastAsia="仿宋" w:cs="宋体"/>
          <w:color w:val="000000"/>
          <w:sz w:val="28"/>
          <w:szCs w:val="28"/>
        </w:rPr>
        <w:t xml:space="preserve">    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为明确双方权利义务，依照《中华人民共和国民法典》及其他有关法律、法规的规定，双方在平等、自愿、公平、诚实信用和等价有偿的基础上，就</w:t>
      </w:r>
      <w:r>
        <w:rPr>
          <w:rFonts w:hint="default" w:ascii="仿宋" w:hAnsi="仿宋" w:eastAsia="仿宋" w:cs="宋体"/>
          <w:color w:val="000000"/>
          <w:sz w:val="28"/>
          <w:szCs w:val="28"/>
          <w:lang w:val="en-US" w:eastAsia="zh-CN"/>
        </w:rPr>
        <w:t>河池市宜州区北山镇规模化供水工程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 xml:space="preserve">水质检测服务事宜协商一致，订立本合同。 </w:t>
      </w:r>
    </w:p>
    <w:p w14:paraId="4FB6E6D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一、项目基本情况：</w:t>
      </w:r>
    </w:p>
    <w:p w14:paraId="47B5506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560" w:firstLineChars="200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（一）项目概况：水厂规模为最大日处理量6000m³/天，管网终端连接至供水片区3177户居民及单位企业等；</w:t>
      </w:r>
    </w:p>
    <w:p w14:paraId="6645B81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560" w:firstLineChars="200"/>
        <w:textAlignment w:val="auto"/>
        <w:rPr>
          <w:rFonts w:hint="eastAsia" w:ascii="仿宋" w:hAnsi="仿宋" w:eastAsia="仿宋" w:cs="宋体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（二）项目位置：河池市宜州区北山镇。</w:t>
      </w:r>
    </w:p>
    <w:p w14:paraId="213CCA3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ascii="宋体" w:cs="宋体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 w:cs="宋体"/>
          <w:b/>
          <w:bCs/>
          <w:color w:val="000000"/>
          <w:sz w:val="28"/>
          <w:szCs w:val="28"/>
        </w:rPr>
        <w:t>检测内容及费用</w:t>
      </w:r>
      <w:r>
        <w:rPr>
          <w:rFonts w:ascii="仿宋" w:hAnsi="仿宋" w:eastAsia="仿宋" w:cs="宋体"/>
          <w:b/>
          <w:bCs/>
          <w:color w:val="000000"/>
          <w:sz w:val="28"/>
          <w:szCs w:val="28"/>
        </w:rPr>
        <w:t xml:space="preserve"> </w:t>
      </w:r>
    </w:p>
    <w:p w14:paraId="7B99E57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ascii="仿宋" w:hAnsi="仿宋" w:eastAsia="仿宋" w:cs="宋体"/>
          <w:color w:val="000000"/>
          <w:sz w:val="28"/>
          <w:szCs w:val="28"/>
        </w:rPr>
        <w:t xml:space="preserve">  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 xml:space="preserve"> 1.1</w:t>
      </w:r>
      <w:r>
        <w:rPr>
          <w:rFonts w:ascii="仿宋" w:hAnsi="仿宋" w:eastAsia="仿宋" w:cs="宋体"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检测内容及收费标准：服务费用按每次实际送检产生费用累计，检测项目及检测费单价见下表。</w:t>
      </w:r>
      <w:r>
        <w:rPr>
          <w:rFonts w:ascii="仿宋" w:hAnsi="仿宋" w:eastAsia="仿宋" w:cs="宋体"/>
          <w:color w:val="000000"/>
          <w:sz w:val="28"/>
          <w:szCs w:val="28"/>
        </w:rPr>
        <w:t xml:space="preserve"> </w:t>
      </w:r>
    </w:p>
    <w:tbl>
      <w:tblPr>
        <w:tblStyle w:val="12"/>
        <w:tblW w:w="882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3778"/>
        <w:gridCol w:w="3520"/>
      </w:tblGrid>
      <w:tr w14:paraId="2E1B5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526" w:type="dxa"/>
            <w:vAlign w:val="center"/>
          </w:tcPr>
          <w:p w14:paraId="1279A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服务类型</w:t>
            </w:r>
          </w:p>
        </w:tc>
        <w:tc>
          <w:tcPr>
            <w:tcW w:w="3778" w:type="dxa"/>
            <w:vAlign w:val="center"/>
          </w:tcPr>
          <w:p w14:paraId="25F93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560" w:firstLineChars="200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检测项目</w:t>
            </w:r>
          </w:p>
        </w:tc>
        <w:tc>
          <w:tcPr>
            <w:tcW w:w="3520" w:type="dxa"/>
            <w:vAlign w:val="center"/>
          </w:tcPr>
          <w:p w14:paraId="308FA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检测费用（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次/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元</w:t>
            </w:r>
            <w:r>
              <w:rPr>
                <w:rFonts w:ascii="仿宋" w:hAnsi="仿宋" w:eastAsia="仿宋" w:cs="宋体"/>
                <w:sz w:val="28"/>
                <w:szCs w:val="28"/>
              </w:rPr>
              <w:t>/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件样品）</w:t>
            </w:r>
          </w:p>
        </w:tc>
      </w:tr>
      <w:tr w14:paraId="5B743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vAlign w:val="center"/>
          </w:tcPr>
          <w:p w14:paraId="4B1AA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水质检测</w:t>
            </w:r>
          </w:p>
          <w:p w14:paraId="416A5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月检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778" w:type="dxa"/>
            <w:vAlign w:val="center"/>
          </w:tcPr>
          <w:p w14:paraId="6258B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地表水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（水源水）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常规29项</w:t>
            </w:r>
          </w:p>
        </w:tc>
        <w:tc>
          <w:tcPr>
            <w:tcW w:w="3520" w:type="dxa"/>
            <w:vAlign w:val="center"/>
          </w:tcPr>
          <w:p w14:paraId="694F3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</w:p>
        </w:tc>
      </w:tr>
      <w:tr w14:paraId="4081E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vAlign w:val="center"/>
          </w:tcPr>
          <w:p w14:paraId="67CEA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78" w:type="dxa"/>
            <w:vAlign w:val="center"/>
          </w:tcPr>
          <w:p w14:paraId="650DA2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出厂水43项</w:t>
            </w:r>
          </w:p>
        </w:tc>
        <w:tc>
          <w:tcPr>
            <w:tcW w:w="3520" w:type="dxa"/>
            <w:vAlign w:val="center"/>
          </w:tcPr>
          <w:p w14:paraId="32A38D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</w:p>
        </w:tc>
      </w:tr>
      <w:tr w14:paraId="1F95FF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vAlign w:val="center"/>
          </w:tcPr>
          <w:p w14:paraId="77216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78" w:type="dxa"/>
            <w:vAlign w:val="center"/>
          </w:tcPr>
          <w:p w14:paraId="326D6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末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（管网水）43项</w:t>
            </w:r>
          </w:p>
        </w:tc>
        <w:tc>
          <w:tcPr>
            <w:tcW w:w="3520" w:type="dxa"/>
            <w:vAlign w:val="center"/>
          </w:tcPr>
          <w:p w14:paraId="180FF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" w:hAnsi="仿宋" w:eastAsia="仿宋" w:cs="仿宋"/>
                <w:color w:val="FF0000"/>
                <w:sz w:val="28"/>
                <w:szCs w:val="28"/>
                <w:lang w:val="en-US"/>
              </w:rPr>
            </w:pPr>
          </w:p>
        </w:tc>
      </w:tr>
      <w:tr w14:paraId="04B3F0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vAlign w:val="center"/>
          </w:tcPr>
          <w:p w14:paraId="1F3040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水质检测</w:t>
            </w:r>
          </w:p>
          <w:p w14:paraId="0D7EC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半年检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778" w:type="dxa"/>
            <w:vAlign w:val="center"/>
          </w:tcPr>
          <w:p w14:paraId="45346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地表水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（水源水）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常规29项</w:t>
            </w:r>
          </w:p>
        </w:tc>
        <w:tc>
          <w:tcPr>
            <w:tcW w:w="3520" w:type="dxa"/>
            <w:vAlign w:val="center"/>
          </w:tcPr>
          <w:p w14:paraId="6EBD21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C7A8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vAlign w:val="center"/>
          </w:tcPr>
          <w:p w14:paraId="3CBE0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78" w:type="dxa"/>
            <w:vAlign w:val="center"/>
          </w:tcPr>
          <w:p w14:paraId="6BC819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出厂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97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项</w:t>
            </w:r>
          </w:p>
        </w:tc>
        <w:tc>
          <w:tcPr>
            <w:tcW w:w="3520" w:type="dxa"/>
            <w:vAlign w:val="center"/>
          </w:tcPr>
          <w:p w14:paraId="532D1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C0290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vAlign w:val="center"/>
          </w:tcPr>
          <w:p w14:paraId="3793E6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778" w:type="dxa"/>
            <w:vAlign w:val="center"/>
          </w:tcPr>
          <w:p w14:paraId="340E8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末</w:t>
            </w:r>
            <w:r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梢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（管网水）43项</w:t>
            </w:r>
          </w:p>
        </w:tc>
        <w:tc>
          <w:tcPr>
            <w:tcW w:w="3520" w:type="dxa"/>
            <w:vAlign w:val="center"/>
          </w:tcPr>
          <w:p w14:paraId="769BA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6BD6625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280" w:firstLineChars="100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1.2检测标准符合</w:t>
      </w:r>
    </w:p>
    <w:p w14:paraId="68DB1C05">
      <w:pPr>
        <w:keepNext w:val="0"/>
        <w:keepLines w:val="0"/>
        <w:pageBreakBefore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pacing w:line="600" w:lineRule="exact"/>
        <w:ind w:firstLine="280" w:firstLineChars="100"/>
        <w:textAlignment w:val="auto"/>
        <w:rPr>
          <w:rFonts w:hint="eastAsia"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地表水常规</w:t>
      </w:r>
      <w:r>
        <w:rPr>
          <w:rFonts w:ascii="仿宋" w:hAnsi="仿宋" w:eastAsia="仿宋" w:cs="宋体"/>
          <w:color w:val="000000"/>
          <w:sz w:val="28"/>
          <w:szCs w:val="28"/>
        </w:rPr>
        <w:t xml:space="preserve"> 29 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项为《地表水环境质量标准》</w:t>
      </w:r>
      <w:r>
        <w:rPr>
          <w:rFonts w:ascii="仿宋" w:hAnsi="仿宋" w:eastAsia="仿宋" w:cs="宋体"/>
          <w:color w:val="000000"/>
          <w:sz w:val="28"/>
          <w:szCs w:val="28"/>
        </w:rPr>
        <w:t>GB3838-2002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表</w:t>
      </w:r>
      <w:r>
        <w:rPr>
          <w:rFonts w:ascii="仿宋" w:hAnsi="仿宋" w:eastAsia="仿宋" w:cs="宋体"/>
          <w:color w:val="000000"/>
          <w:sz w:val="28"/>
          <w:szCs w:val="28"/>
        </w:rPr>
        <w:t>1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、表</w:t>
      </w:r>
      <w:r>
        <w:rPr>
          <w:rFonts w:ascii="仿宋" w:hAnsi="仿宋" w:eastAsia="仿宋" w:cs="宋体"/>
          <w:color w:val="000000"/>
          <w:sz w:val="28"/>
          <w:szCs w:val="28"/>
        </w:rPr>
        <w:t>2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项目。</w:t>
      </w:r>
    </w:p>
    <w:p w14:paraId="16E29F91">
      <w:pPr>
        <w:keepNext w:val="0"/>
        <w:keepLines w:val="0"/>
        <w:pageBreakBefore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pacing w:line="600" w:lineRule="exact"/>
        <w:ind w:firstLine="280" w:firstLineChars="100"/>
        <w:textAlignment w:val="auto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地下水常规</w:t>
      </w:r>
      <w:r>
        <w:rPr>
          <w:rFonts w:ascii="仿宋" w:hAnsi="仿宋" w:eastAsia="仿宋" w:cs="宋体"/>
          <w:color w:val="000000"/>
          <w:sz w:val="28"/>
          <w:szCs w:val="28"/>
        </w:rPr>
        <w:t>39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项为《地下水质量标准》</w:t>
      </w:r>
      <w:r>
        <w:rPr>
          <w:rFonts w:ascii="仿宋" w:hAnsi="仿宋" w:eastAsia="仿宋" w:cs="宋体"/>
          <w:color w:val="000000"/>
          <w:sz w:val="28"/>
          <w:szCs w:val="28"/>
        </w:rPr>
        <w:t>GB/T14848-2017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表</w:t>
      </w:r>
      <w:r>
        <w:rPr>
          <w:rFonts w:ascii="仿宋" w:hAnsi="仿宋" w:eastAsia="仿宋" w:cs="宋体"/>
          <w:color w:val="000000"/>
          <w:sz w:val="28"/>
          <w:szCs w:val="28"/>
        </w:rPr>
        <w:t>1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项目。</w:t>
      </w:r>
    </w:p>
    <w:p w14:paraId="5CF6E384">
      <w:pPr>
        <w:keepNext w:val="0"/>
        <w:keepLines w:val="0"/>
        <w:pageBreakBefore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pacing w:line="600" w:lineRule="exact"/>
        <w:ind w:firstLine="280" w:firstLineChars="100"/>
        <w:textAlignment w:val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生活饮用水常规</w:t>
      </w:r>
      <w:r>
        <w:rPr>
          <w:rFonts w:ascii="仿宋" w:hAnsi="仿宋" w:eastAsia="仿宋" w:cs="宋体"/>
          <w:color w:val="000000"/>
          <w:sz w:val="28"/>
          <w:szCs w:val="28"/>
        </w:rPr>
        <w:t>4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项为《生活饮用水卫生标准》</w:t>
      </w:r>
      <w:r>
        <w:rPr>
          <w:rFonts w:ascii="仿宋" w:hAnsi="仿宋" w:eastAsia="仿宋" w:cs="宋体"/>
          <w:color w:val="000000"/>
          <w:sz w:val="28"/>
          <w:szCs w:val="28"/>
        </w:rPr>
        <w:t>GB5749-20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表</w:t>
      </w:r>
      <w:r>
        <w:rPr>
          <w:rFonts w:ascii="仿宋" w:hAnsi="仿宋" w:eastAsia="仿宋" w:cs="宋体"/>
          <w:color w:val="000000"/>
          <w:sz w:val="28"/>
          <w:szCs w:val="28"/>
        </w:rPr>
        <w:t>1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、表</w:t>
      </w:r>
      <w:r>
        <w:rPr>
          <w:rFonts w:ascii="仿宋" w:hAnsi="仿宋" w:eastAsia="仿宋" w:cs="宋体"/>
          <w:color w:val="000000"/>
          <w:sz w:val="28"/>
          <w:szCs w:val="28"/>
        </w:rPr>
        <w:t>2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中根据不同消毒方式对应要求检测的项目。</w:t>
      </w:r>
    </w:p>
    <w:p w14:paraId="49EC08FF">
      <w:pPr>
        <w:keepNext w:val="0"/>
        <w:keepLines w:val="0"/>
        <w:pageBreakBefore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pacing w:line="600" w:lineRule="exact"/>
        <w:ind w:firstLine="280" w:firstLineChars="100"/>
        <w:textAlignment w:val="auto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出厂</w:t>
      </w:r>
      <w:r>
        <w:rPr>
          <w:rFonts w:hint="eastAsia" w:ascii="仿宋" w:hAnsi="仿宋" w:eastAsia="仿宋" w:cs="仿宋"/>
          <w:sz w:val="28"/>
          <w:szCs w:val="28"/>
        </w:rPr>
        <w:t>水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全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97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项为《生活饮用水卫生标准》</w:t>
      </w:r>
      <w:r>
        <w:rPr>
          <w:rFonts w:ascii="仿宋" w:hAnsi="仿宋" w:eastAsia="仿宋" w:cs="宋体"/>
          <w:color w:val="000000"/>
          <w:sz w:val="28"/>
          <w:szCs w:val="28"/>
        </w:rPr>
        <w:t>GB5749-20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表</w:t>
      </w:r>
      <w:r>
        <w:rPr>
          <w:rFonts w:ascii="仿宋" w:hAnsi="仿宋" w:eastAsia="仿宋" w:cs="宋体"/>
          <w:color w:val="000000"/>
          <w:sz w:val="28"/>
          <w:szCs w:val="28"/>
        </w:rPr>
        <w:t>1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、表</w:t>
      </w:r>
      <w:r>
        <w:rPr>
          <w:rFonts w:ascii="仿宋" w:hAnsi="仿宋" w:eastAsia="仿宋" w:cs="宋体"/>
          <w:color w:val="000000"/>
          <w:sz w:val="28"/>
          <w:szCs w:val="28"/>
        </w:rPr>
        <w:t>2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、表</w:t>
      </w:r>
      <w:r>
        <w:rPr>
          <w:rFonts w:ascii="仿宋" w:hAnsi="仿宋" w:eastAsia="仿宋" w:cs="宋体"/>
          <w:color w:val="000000"/>
          <w:sz w:val="28"/>
          <w:szCs w:val="28"/>
        </w:rPr>
        <w:t>3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中根据不同消毒方式对应要求检测的项目。</w:t>
      </w:r>
    </w:p>
    <w:p w14:paraId="5F6A2D32">
      <w:pPr>
        <w:keepNext w:val="0"/>
        <w:keepLines w:val="0"/>
        <w:pageBreakBefore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adjustRightInd/>
        <w:spacing w:line="600" w:lineRule="exact"/>
        <w:ind w:firstLine="280" w:firstLineChars="100"/>
        <w:textAlignment w:val="auto"/>
        <w:rPr>
          <w:rFonts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检测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项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目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为甲方选择检测且在乙方检测能力范围内。</w:t>
      </w:r>
      <w:r>
        <w:rPr>
          <w:rFonts w:ascii="仿宋" w:hAnsi="仿宋" w:eastAsia="仿宋" w:cs="宋体"/>
          <w:color w:val="000000"/>
          <w:sz w:val="28"/>
          <w:szCs w:val="28"/>
        </w:rPr>
        <w:t xml:space="preserve"> </w:t>
      </w:r>
    </w:p>
    <w:p w14:paraId="566A649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560" w:firstLineChars="200"/>
        <w:textAlignment w:val="auto"/>
        <w:rPr>
          <w:rFonts w:hint="eastAsia"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1.3“件样品”定义为每一份独立封装、具有唯一编号的送检水样，每件样品按本表约定的一个服务类型（如“出厂水43项”）所包含的全部检测项目完成检测。合同约定的检测费用为含税包干价（税率标准按国家现行规定执行），包含检测费、采样服务费（仅在甲方书面委托乙方提供采样服务时产生，未委托则不包含）、标准物质消耗费、报告编制及交付等完成本次检测服务所需的全部费用，乙方不得以任何名义另行收取其他费用。</w:t>
      </w:r>
    </w:p>
    <w:p w14:paraId="4E253799">
      <w:pPr>
        <w:keepNext w:val="0"/>
        <w:keepLines w:val="0"/>
        <w:pageBreakBefore w:val="0"/>
        <w:numPr>
          <w:ilvl w:val="0"/>
          <w:numId w:val="3"/>
        </w:numPr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ascii="仿宋" w:hAnsi="仿宋" w:eastAsia="仿宋" w:cs="宋体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</w:rPr>
        <w:t>甲方权利与义务</w:t>
      </w:r>
      <w:r>
        <w:rPr>
          <w:rFonts w:ascii="仿宋" w:hAnsi="仿宋" w:eastAsia="仿宋" w:cs="宋体"/>
          <w:b/>
          <w:bCs/>
          <w:color w:val="000000"/>
          <w:sz w:val="28"/>
          <w:szCs w:val="28"/>
        </w:rPr>
        <w:t xml:space="preserve"> </w:t>
      </w:r>
    </w:p>
    <w:p w14:paraId="2F8DC39C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pacing w:line="600" w:lineRule="exact"/>
        <w:ind w:firstLine="560" w:firstLineChars="200"/>
        <w:textAlignment w:val="auto"/>
        <w:rPr>
          <w:rFonts w:hint="eastAsia"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 xml:space="preserve">2.1 甲方有权监督乙方服务过程，有权提出意见或建议。 </w:t>
      </w:r>
    </w:p>
    <w:p w14:paraId="4D0F6E14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560" w:firstLineChars="200"/>
        <w:textAlignment w:val="auto"/>
        <w:rPr>
          <w:rFonts w:hint="eastAsia"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 xml:space="preserve">2.2 因乙方原因不能按协议要求向甲方提供完整检测报告的，由此给甲方带来的损失由乙方承担。 </w:t>
      </w:r>
    </w:p>
    <w:p w14:paraId="4661CC7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560" w:firstLineChars="200"/>
        <w:textAlignment w:val="auto"/>
        <w:rPr>
          <w:rFonts w:hint="eastAsia"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 xml:space="preserve">2.3 </w:t>
      </w:r>
      <w:r>
        <w:rPr>
          <w:rFonts w:hint="eastAsia" w:ascii="仿宋" w:hAnsi="仿宋" w:eastAsia="仿宋" w:cs="宋体"/>
          <w:color w:val="000000"/>
          <w:sz w:val="28"/>
          <w:szCs w:val="28"/>
          <w:lang w:eastAsia="zh-CN"/>
        </w:rPr>
        <w:t>甲方负责样品的采集工作。双方确认，采样方法须符合国家相关标准（GB/T 57502-2023）。甲方进行采样时，可通知乙方派员到场指导或见证；若乙方未派员参与，则视为甲方采用的采样方式符合要求。样品送达乙方实验室所产生的运输费用由乙方承担。</w:t>
      </w:r>
    </w:p>
    <w:p w14:paraId="4AC2897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</w:rPr>
        <w:t>三、乙方权利与义务</w:t>
      </w:r>
      <w:r>
        <w:rPr>
          <w:rFonts w:ascii="仿宋" w:hAnsi="仿宋" w:eastAsia="仿宋" w:cs="宋体"/>
          <w:b/>
          <w:bCs/>
          <w:color w:val="000000"/>
          <w:sz w:val="28"/>
          <w:szCs w:val="28"/>
        </w:rPr>
        <w:t xml:space="preserve"> </w:t>
      </w:r>
    </w:p>
    <w:p w14:paraId="3D004E9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560" w:firstLineChars="200"/>
        <w:textAlignment w:val="auto"/>
        <w:rPr>
          <w:rFonts w:hint="eastAsia"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3.1 在合同期内，甲方如需乙方提供合同</w:t>
      </w:r>
      <w:r>
        <w:rPr>
          <w:rFonts w:hint="eastAsia" w:ascii="仿宋" w:hAnsi="仿宋" w:eastAsia="仿宋" w:cs="宋体"/>
          <w:color w:val="000000"/>
          <w:sz w:val="28"/>
          <w:szCs w:val="28"/>
          <w:lang w:eastAsia="zh-CN"/>
        </w:rPr>
        <w:t>约定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外</w:t>
      </w:r>
      <w:r>
        <w:rPr>
          <w:rFonts w:hint="eastAsia" w:ascii="仿宋" w:hAnsi="仿宋" w:eastAsia="仿宋" w:cs="宋体"/>
          <w:color w:val="000000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检测服务，</w:t>
      </w:r>
      <w:r>
        <w:rPr>
          <w:rFonts w:hint="eastAsia" w:ascii="仿宋" w:hAnsi="仿宋" w:eastAsia="仿宋" w:cs="宋体"/>
          <w:color w:val="000000"/>
          <w:sz w:val="28"/>
          <w:szCs w:val="28"/>
          <w:lang w:eastAsia="zh-CN"/>
        </w:rPr>
        <w:t>双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 xml:space="preserve">方另行协商，并支付相应服务费用，费用金额由甲、乙双方协商确定。 </w:t>
      </w:r>
    </w:p>
    <w:p w14:paraId="6C99BBE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560" w:firstLineChars="200"/>
        <w:textAlignment w:val="auto"/>
        <w:rPr>
          <w:rFonts w:hint="eastAsia"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 xml:space="preserve">3.2 因甲方原因导致乙方不能按协议要求向甲方提供完整检测报告的，乙方不承担相应责任。 </w:t>
      </w:r>
    </w:p>
    <w:p w14:paraId="1E42BB1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560" w:firstLineChars="200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eastAsia="zh-CN"/>
        </w:rPr>
        <w:t>3.3 乙方须具备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省级以上市场监督管理部门颁发的</w:t>
      </w:r>
      <w:r>
        <w:rPr>
          <w:rFonts w:hint="default" w:ascii="仿宋" w:hAnsi="仿宋" w:eastAsia="仿宋" w:cs="宋体"/>
          <w:color w:val="000000"/>
          <w:sz w:val="28"/>
          <w:szCs w:val="28"/>
          <w:lang w:val="en-US" w:eastAsia="zh-CN"/>
        </w:rPr>
        <w:t>检验检测机构资质认定证书（CMA）</w:t>
      </w:r>
      <w:r>
        <w:rPr>
          <w:rFonts w:hint="eastAsia" w:ascii="仿宋" w:hAnsi="仿宋" w:eastAsia="仿宋" w:cs="宋体"/>
          <w:color w:val="000000"/>
          <w:sz w:val="28"/>
          <w:szCs w:val="28"/>
          <w:lang w:eastAsia="zh-CN"/>
        </w:rPr>
        <w:t>，所持证书真实有效。乙方应严格依照国家相关检测标准方法，保质保量完成检测工作，并需在收到甲方送达的有效样品且确认其符合检测要求后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 w:cs="宋体"/>
          <w:color w:val="000000"/>
          <w:sz w:val="28"/>
          <w:szCs w:val="28"/>
          <w:lang w:eastAsia="zh-CN"/>
        </w:rPr>
        <w:t>个工作日内，出具正式检测报告。乙方保证检测结果准确无误，若因乙方过错导致检测报告出现重大错误（即关键指标误差超出国家标准允许范围），乙方应免收该次检测费用，并赔偿甲方因此遭受的直接损失。</w:t>
      </w:r>
    </w:p>
    <w:p w14:paraId="54F8EBB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560" w:firstLineChars="200"/>
        <w:textAlignment w:val="auto"/>
        <w:rPr>
          <w:rFonts w:hint="eastAsia"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3.4 乙方须对因履行本合同所获悉甲方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一切信息（包括但不限于委托检测的事实、送检样品信息、检测数据、检测报告及结论等）保密，未经甲方事先书面授权，不得向任何第三方泄露。</w:t>
      </w:r>
    </w:p>
    <w:p w14:paraId="7B09437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ascii="仿宋" w:hAnsi="仿宋" w:eastAsia="仿宋" w:cs="宋体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</w:rPr>
        <w:t>四、合同期限及结算方式</w:t>
      </w:r>
      <w:r>
        <w:rPr>
          <w:rFonts w:ascii="仿宋" w:hAnsi="仿宋" w:eastAsia="仿宋" w:cs="宋体"/>
          <w:b/>
          <w:bCs/>
          <w:color w:val="000000"/>
          <w:sz w:val="28"/>
          <w:szCs w:val="28"/>
        </w:rPr>
        <w:t xml:space="preserve"> </w:t>
      </w:r>
    </w:p>
    <w:p w14:paraId="52D0755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560" w:firstLineChars="200"/>
        <w:textAlignment w:val="auto"/>
        <w:rPr>
          <w:rFonts w:hint="eastAsia"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 xml:space="preserve">4.1本合同有效期自 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 xml:space="preserve">年 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月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日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至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 xml:space="preserve"> 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年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月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 xml:space="preserve">日止。 </w:t>
      </w:r>
    </w:p>
    <w:p w14:paraId="49F1050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560" w:firstLineChars="200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eastAsia="zh-CN"/>
        </w:rPr>
        <w:t>4.2甲方每次委托乙方开展检测前，需与乙方共同对检测内容及项目签字确认；乙方应于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每次检测完成后七个工作日内，向甲方出具符合本合同约定的检测报告。甲方收到报告及合规发票后，需进行审核。若甲方对报告内容无异议，应在审核无误后的十个工作日内支付该次检测费用；若甲方对报告内容有异议，有权书面通知乙方，双方共同复核检测过程与数据，费用支付相应顺延，直至异议解决。</w:t>
      </w:r>
    </w:p>
    <w:p w14:paraId="11C5BF6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560" w:firstLineChars="200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eastAsia="zh-CN"/>
        </w:rPr>
        <w:t>4.3乙方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指定</w:t>
      </w:r>
      <w:r>
        <w:rPr>
          <w:rFonts w:hint="eastAsia" w:ascii="仿宋" w:hAnsi="仿宋" w:eastAsia="仿宋" w:cs="宋体"/>
          <w:color w:val="000000"/>
          <w:sz w:val="28"/>
          <w:szCs w:val="28"/>
          <w:lang w:eastAsia="zh-CN"/>
        </w:rPr>
        <w:t>账户</w:t>
      </w:r>
    </w:p>
    <w:p w14:paraId="38B8E1F5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仿宋" w:hAnsi="仿宋" w:eastAsia="仿宋" w:cs="宋体"/>
          <w:color w:val="000000"/>
          <w:sz w:val="28"/>
          <w:szCs w:val="28"/>
          <w:u w:val="single"/>
          <w:lang w:val="en-US" w:eastAsia="zh-CN"/>
        </w:rPr>
      </w:pPr>
      <w:r>
        <w:rPr>
          <w:rFonts w:ascii="仿宋" w:hAnsi="仿宋" w:eastAsia="仿宋" w:cs="宋体"/>
          <w:color w:val="000000"/>
          <w:sz w:val="28"/>
          <w:szCs w:val="28"/>
        </w:rPr>
        <w:t xml:space="preserve">   </w:t>
      </w:r>
      <w:r>
        <w:rPr>
          <w:rFonts w:hint="eastAsia" w:ascii="仿宋" w:hAnsi="仿宋" w:eastAsia="仿宋" w:cs="宋体"/>
          <w:color w:val="000000"/>
          <w:sz w:val="28"/>
          <w:szCs w:val="28"/>
          <w:lang w:eastAsia="zh-CN"/>
        </w:rPr>
        <w:t>单位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名称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：</w:t>
      </w:r>
      <w:r>
        <w:rPr>
          <w:rFonts w:hint="eastAsia" w:ascii="仿宋" w:hAnsi="仿宋" w:eastAsia="仿宋" w:cs="宋体"/>
          <w:color w:val="000000"/>
          <w:sz w:val="28"/>
          <w:szCs w:val="28"/>
          <w:u w:val="single"/>
          <w:lang w:val="en-US" w:eastAsia="zh-CN"/>
        </w:rPr>
        <w:t xml:space="preserve">                </w:t>
      </w:r>
    </w:p>
    <w:p w14:paraId="0162BCB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pacing w:line="600" w:lineRule="exact"/>
        <w:ind w:left="1400" w:hanging="1400" w:hangingChars="500"/>
        <w:jc w:val="left"/>
        <w:textAlignment w:val="auto"/>
        <w:rPr>
          <w:rFonts w:hint="default" w:ascii="仿宋" w:hAnsi="仿宋" w:eastAsia="仿宋" w:cs="宋体"/>
          <w:color w:val="000000"/>
          <w:sz w:val="28"/>
          <w:szCs w:val="28"/>
          <w:u w:val="single"/>
          <w:lang w:val="en-US" w:eastAsia="zh-CN"/>
        </w:rPr>
      </w:pPr>
      <w:r>
        <w:rPr>
          <w:rFonts w:ascii="仿宋" w:hAnsi="仿宋" w:eastAsia="仿宋" w:cs="宋体"/>
          <w:color w:val="000000"/>
          <w:sz w:val="28"/>
          <w:szCs w:val="28"/>
        </w:rPr>
        <w:t xml:space="preserve">   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开户</w:t>
      </w:r>
      <w:r>
        <w:rPr>
          <w:rFonts w:hint="eastAsia" w:ascii="仿宋" w:hAnsi="仿宋" w:eastAsia="仿宋" w:cs="宋体"/>
          <w:color w:val="000000"/>
          <w:sz w:val="28"/>
          <w:szCs w:val="28"/>
          <w:lang w:eastAsia="zh-CN"/>
        </w:rPr>
        <w:t>银行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：</w:t>
      </w:r>
      <w:r>
        <w:rPr>
          <w:rFonts w:hint="eastAsia" w:ascii="仿宋" w:hAnsi="仿宋" w:eastAsia="仿宋" w:cs="宋体"/>
          <w:color w:val="000000"/>
          <w:sz w:val="28"/>
          <w:szCs w:val="28"/>
          <w:u w:val="single"/>
          <w:lang w:val="en-US" w:eastAsia="zh-CN"/>
        </w:rPr>
        <w:t xml:space="preserve">                </w:t>
      </w:r>
    </w:p>
    <w:p w14:paraId="5CAC70F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仿宋" w:hAnsi="仿宋" w:eastAsia="仿宋" w:cs="宋体"/>
          <w:color w:val="000000"/>
          <w:sz w:val="28"/>
          <w:szCs w:val="28"/>
          <w:u w:val="single"/>
          <w:lang w:val="en-US" w:eastAsia="zh-CN"/>
        </w:rPr>
      </w:pPr>
      <w:r>
        <w:rPr>
          <w:rFonts w:ascii="仿宋" w:hAnsi="仿宋" w:eastAsia="仿宋" w:cs="宋体"/>
          <w:color w:val="000000"/>
          <w:sz w:val="28"/>
          <w:szCs w:val="28"/>
        </w:rPr>
        <w:t xml:space="preserve">  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宋体"/>
          <w:color w:val="000000"/>
          <w:sz w:val="28"/>
          <w:szCs w:val="28"/>
          <w:lang w:eastAsia="zh-CN"/>
        </w:rPr>
        <w:t>银行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账号：</w:t>
      </w:r>
      <w:r>
        <w:rPr>
          <w:rFonts w:hint="eastAsia" w:ascii="仿宋" w:hAnsi="仿宋" w:eastAsia="仿宋" w:cs="宋体"/>
          <w:color w:val="000000"/>
          <w:sz w:val="28"/>
          <w:szCs w:val="28"/>
          <w:u w:val="single"/>
          <w:lang w:val="en-US" w:eastAsia="zh-CN"/>
        </w:rPr>
        <w:t xml:space="preserve">                </w:t>
      </w:r>
    </w:p>
    <w:p w14:paraId="4F9325E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" w:hAnsi="仿宋" w:eastAsia="仿宋" w:cs="宋体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  <w:lang w:eastAsia="zh-CN"/>
        </w:rPr>
        <w:t>五、违约责任</w:t>
      </w:r>
    </w:p>
    <w:p w14:paraId="2F1991A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560" w:firstLineChars="200"/>
        <w:textAlignment w:val="auto"/>
        <w:rPr>
          <w:rFonts w:hint="default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宋体"/>
          <w:color w:val="000000"/>
          <w:sz w:val="28"/>
          <w:szCs w:val="28"/>
          <w:lang w:val="en-US" w:eastAsia="zh-CN"/>
        </w:rPr>
        <w:t>5.1 甲方违约责任</w:t>
      </w:r>
    </w:p>
    <w:p w14:paraId="27E4F13A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560" w:firstLineChars="200"/>
        <w:textAlignment w:val="auto"/>
        <w:rPr>
          <w:rFonts w:hint="default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宋体"/>
          <w:color w:val="000000"/>
          <w:sz w:val="28"/>
          <w:szCs w:val="28"/>
          <w:lang w:val="en-US" w:eastAsia="zh-CN"/>
        </w:rPr>
        <w:t>甲方无正当理由单方解除本合同或拒绝接收合格检测报告的，应向乙方支付已完成检测服务对应的费用；若造成乙方其他损失的，应另行赔偿。</w:t>
      </w:r>
    </w:p>
    <w:p w14:paraId="7EDD22E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560" w:firstLineChars="200"/>
        <w:textAlignment w:val="auto"/>
        <w:rPr>
          <w:rFonts w:hint="default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宋体"/>
          <w:color w:val="000000"/>
          <w:sz w:val="28"/>
          <w:szCs w:val="28"/>
          <w:lang w:val="en-US" w:eastAsia="zh-CN"/>
        </w:rPr>
        <w:t>5.2 乙方违约责任</w:t>
      </w:r>
    </w:p>
    <w:p w14:paraId="4132972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560" w:firstLineChars="200"/>
        <w:textAlignment w:val="auto"/>
        <w:rPr>
          <w:rFonts w:hint="default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宋体"/>
          <w:color w:val="000000"/>
          <w:sz w:val="28"/>
          <w:szCs w:val="28"/>
          <w:lang w:val="en-US" w:eastAsia="zh-CN"/>
        </w:rPr>
        <w:t>5.2.1 乙方未按本合同第3.3条约定时间出具检测报告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或交付的报告不符合合同约定</w:t>
      </w:r>
      <w:r>
        <w:rPr>
          <w:rFonts w:hint="default" w:ascii="仿宋" w:hAnsi="仿宋" w:eastAsia="仿宋" w:cs="宋体"/>
          <w:color w:val="000000"/>
          <w:sz w:val="28"/>
          <w:szCs w:val="28"/>
          <w:lang w:val="en-US" w:eastAsia="zh-CN"/>
        </w:rPr>
        <w:t>的，每逾期一日，应按该次检测费用的万分之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三</w:t>
      </w:r>
      <w:r>
        <w:rPr>
          <w:rFonts w:hint="default" w:ascii="仿宋" w:hAnsi="仿宋" w:eastAsia="仿宋" w:cs="宋体"/>
          <w:color w:val="000000"/>
          <w:sz w:val="28"/>
          <w:szCs w:val="28"/>
          <w:lang w:val="en-US" w:eastAsia="zh-CN"/>
        </w:rPr>
        <w:t>向甲方支付违约金；逾期超过15日的，甲方有权解除该次检测委托，乙方应全额退还已收取的该次检测费用，并赔偿甲方因此遭受的直接损失（包括但不限于项目停工损失、第三方索赔损失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、律师费、诉讼费、保全及保险费</w:t>
      </w:r>
      <w:r>
        <w:rPr>
          <w:rFonts w:hint="default" w:ascii="仿宋" w:hAnsi="仿宋" w:eastAsia="仿宋" w:cs="宋体"/>
          <w:color w:val="000000"/>
          <w:sz w:val="28"/>
          <w:szCs w:val="28"/>
          <w:lang w:val="en-US" w:eastAsia="zh-CN"/>
        </w:rPr>
        <w:t>等）。</w:t>
      </w:r>
    </w:p>
    <w:p w14:paraId="0E43E48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560" w:firstLineChars="200"/>
        <w:textAlignment w:val="auto"/>
        <w:rPr>
          <w:rFonts w:hint="default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宋体"/>
          <w:color w:val="000000"/>
          <w:sz w:val="28"/>
          <w:szCs w:val="28"/>
          <w:lang w:val="en-US" w:eastAsia="zh-CN"/>
        </w:rPr>
        <w:t>5.2.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2</w:t>
      </w:r>
      <w:r>
        <w:rPr>
          <w:rFonts w:hint="default" w:ascii="仿宋" w:hAnsi="仿宋" w:eastAsia="仿宋" w:cs="宋体"/>
          <w:color w:val="000000"/>
          <w:sz w:val="28"/>
          <w:szCs w:val="28"/>
          <w:lang w:val="en-US" w:eastAsia="zh-CN"/>
        </w:rPr>
        <w:t xml:space="preserve"> 乙方违反本合同第3.4条保密义务，未经甲方书面授权向第三方泄露甲方相关信息的，应向甲方支付违约金5万元；若造成甲方名誉损失、经济损失等其他损害的，乙方应另行承担赔偿责任。</w:t>
      </w:r>
    </w:p>
    <w:p w14:paraId="3BD8EF6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560" w:firstLineChars="200"/>
        <w:textAlignment w:val="auto"/>
        <w:rPr>
          <w:rFonts w:hint="default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default" w:ascii="仿宋" w:hAnsi="仿宋" w:eastAsia="仿宋" w:cs="宋体"/>
          <w:color w:val="000000"/>
          <w:sz w:val="28"/>
          <w:szCs w:val="28"/>
          <w:lang w:val="en-US" w:eastAsia="zh-CN"/>
        </w:rPr>
        <w:t>5.2.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3</w:t>
      </w:r>
      <w:r>
        <w:rPr>
          <w:rFonts w:hint="default" w:ascii="仿宋" w:hAnsi="仿宋" w:eastAsia="仿宋" w:cs="宋体"/>
          <w:color w:val="000000"/>
          <w:sz w:val="28"/>
          <w:szCs w:val="28"/>
          <w:lang w:val="en-US" w:eastAsia="zh-CN"/>
        </w:rPr>
        <w:t xml:space="preserve"> 乙方擅自增加检测费用或变相收取其他费用的，甲方有权拒付该部分费用。</w:t>
      </w:r>
    </w:p>
    <w:p w14:paraId="7349C253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ascii="仿宋" w:hAnsi="仿宋" w:eastAsia="仿宋" w:cs="宋体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sz w:val="28"/>
          <w:szCs w:val="28"/>
          <w:lang w:eastAsia="zh-CN"/>
        </w:rPr>
        <w:t>六</w:t>
      </w:r>
      <w:r>
        <w:rPr>
          <w:rFonts w:hint="eastAsia" w:ascii="仿宋" w:hAnsi="仿宋" w:eastAsia="仿宋" w:cs="宋体"/>
          <w:b/>
          <w:bCs/>
          <w:color w:val="000000"/>
          <w:sz w:val="28"/>
          <w:szCs w:val="28"/>
        </w:rPr>
        <w:t>、合同生效</w:t>
      </w:r>
      <w:r>
        <w:rPr>
          <w:rFonts w:ascii="仿宋" w:hAnsi="仿宋" w:eastAsia="仿宋" w:cs="宋体"/>
          <w:b/>
          <w:bCs/>
          <w:color w:val="000000"/>
          <w:sz w:val="28"/>
          <w:szCs w:val="28"/>
        </w:rPr>
        <w:t xml:space="preserve"> </w:t>
      </w:r>
    </w:p>
    <w:p w14:paraId="426D2F9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560" w:firstLineChars="200"/>
        <w:textAlignment w:val="auto"/>
        <w:rPr>
          <w:rFonts w:hint="default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6</w:t>
      </w:r>
      <w:r>
        <w:rPr>
          <w:rFonts w:hint="default" w:ascii="仿宋" w:hAnsi="仿宋" w:eastAsia="仿宋" w:cs="宋体"/>
          <w:color w:val="000000"/>
          <w:sz w:val="28"/>
          <w:szCs w:val="28"/>
          <w:lang w:val="en-US" w:eastAsia="zh-CN"/>
        </w:rPr>
        <w:t>.1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本合同经双方法定代表人（或授权委托人）签字并加盖公章后生效；</w:t>
      </w:r>
      <w:r>
        <w:rPr>
          <w:rFonts w:hint="default" w:ascii="仿宋" w:hAnsi="仿宋" w:eastAsia="仿宋" w:cs="宋体"/>
          <w:color w:val="000000"/>
          <w:sz w:val="28"/>
          <w:szCs w:val="28"/>
          <w:lang w:val="en-US" w:eastAsia="zh-CN"/>
        </w:rPr>
        <w:t xml:space="preserve"> </w:t>
      </w:r>
    </w:p>
    <w:p w14:paraId="196CEEE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560" w:firstLineChars="200"/>
        <w:textAlignment w:val="auto"/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6</w:t>
      </w:r>
      <w:r>
        <w:rPr>
          <w:rFonts w:hint="default" w:ascii="仿宋" w:hAnsi="仿宋" w:eastAsia="仿宋" w:cs="宋体"/>
          <w:color w:val="000000"/>
          <w:sz w:val="28"/>
          <w:szCs w:val="28"/>
          <w:lang w:val="en-US" w:eastAsia="zh-CN"/>
        </w:rPr>
        <w:t>.2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争议处理方式：凡因本合同引起的或与本合同有关的任何争议，由双方友好协商解决；如协商不成，任何一方均有权向甲方所在地人民法院提起诉讼。</w:t>
      </w:r>
    </w:p>
    <w:p w14:paraId="32DAC62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560" w:firstLineChars="200"/>
        <w:textAlignment w:val="auto"/>
        <w:rPr>
          <w:rFonts w:hint="default" w:ascii="仿宋" w:hAnsi="仿宋" w:eastAsia="仿宋" w:cs="宋体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6</w:t>
      </w:r>
      <w:r>
        <w:rPr>
          <w:rFonts w:hint="default" w:ascii="仿宋" w:hAnsi="仿宋" w:eastAsia="仿宋" w:cs="宋体"/>
          <w:color w:val="000000"/>
          <w:sz w:val="28"/>
          <w:szCs w:val="28"/>
          <w:lang w:val="en-US" w:eastAsia="zh-CN"/>
        </w:rPr>
        <w:t>.3</w:t>
      </w: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未尽事宜由甲乙双方协商解决或另行签订补充协议，补充协议与合同具有同等效力；</w:t>
      </w:r>
      <w:r>
        <w:rPr>
          <w:rFonts w:hint="default" w:ascii="仿宋" w:hAnsi="仿宋" w:eastAsia="仿宋" w:cs="宋体"/>
          <w:color w:val="000000"/>
          <w:sz w:val="28"/>
          <w:szCs w:val="28"/>
          <w:lang w:val="en-US" w:eastAsia="zh-CN"/>
        </w:rPr>
        <w:t xml:space="preserve"> </w:t>
      </w:r>
    </w:p>
    <w:p w14:paraId="5BBD1CD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560" w:firstLineChars="200"/>
        <w:textAlignment w:val="auto"/>
        <w:rPr>
          <w:rFonts w:hint="eastAsia" w:ascii="仿宋" w:hAnsi="仿宋" w:eastAsia="仿宋" w:cs="宋体"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sz w:val="28"/>
          <w:szCs w:val="28"/>
          <w:lang w:val="en-US" w:eastAsia="zh-CN"/>
        </w:rPr>
        <w:t>6</w:t>
      </w:r>
      <w:r>
        <w:rPr>
          <w:rFonts w:ascii="仿宋" w:hAnsi="仿宋" w:eastAsia="仿宋" w:cs="宋体"/>
          <w:color w:val="000000"/>
          <w:sz w:val="28"/>
          <w:szCs w:val="28"/>
        </w:rPr>
        <w:t>.4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本合同一式</w:t>
      </w:r>
      <w:r>
        <w:rPr>
          <w:rFonts w:hint="eastAsia" w:ascii="仿宋" w:hAnsi="仿宋" w:eastAsia="仿宋" w:cs="宋体"/>
          <w:b/>
          <w:bCs/>
          <w:color w:val="000000"/>
          <w:sz w:val="28"/>
          <w:szCs w:val="28"/>
        </w:rPr>
        <w:t>肆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份，甲方执</w:t>
      </w:r>
      <w:r>
        <w:rPr>
          <w:rFonts w:hint="eastAsia" w:ascii="仿宋" w:hAnsi="仿宋" w:eastAsia="仿宋" w:cs="宋体"/>
          <w:b/>
          <w:bCs/>
          <w:color w:val="000000"/>
          <w:sz w:val="28"/>
          <w:szCs w:val="28"/>
        </w:rPr>
        <w:t>贰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份，乙方执</w:t>
      </w:r>
      <w:r>
        <w:rPr>
          <w:rFonts w:hint="eastAsia" w:ascii="仿宋" w:hAnsi="仿宋" w:eastAsia="仿宋" w:cs="宋体"/>
          <w:b/>
          <w:bCs/>
          <w:color w:val="000000"/>
          <w:sz w:val="28"/>
          <w:szCs w:val="28"/>
        </w:rPr>
        <w:t>贰</w:t>
      </w:r>
      <w:r>
        <w:rPr>
          <w:rFonts w:hint="eastAsia" w:ascii="仿宋" w:hAnsi="仿宋" w:eastAsia="仿宋" w:cs="宋体"/>
          <w:color w:val="000000"/>
          <w:sz w:val="28"/>
          <w:szCs w:val="28"/>
        </w:rPr>
        <w:t>份，具有同等法律效力。</w:t>
      </w:r>
    </w:p>
    <w:p w14:paraId="629EBDAA">
      <w:pPr>
        <w:pStyle w:val="2"/>
        <w:rPr>
          <w:rFonts w:hint="eastAsia" w:ascii="仿宋" w:hAnsi="仿宋" w:eastAsia="仿宋" w:cs="宋体"/>
          <w:color w:val="000000"/>
          <w:sz w:val="28"/>
          <w:szCs w:val="28"/>
        </w:rPr>
      </w:pPr>
    </w:p>
    <w:p w14:paraId="3783332A">
      <w:pPr>
        <w:pStyle w:val="2"/>
        <w:rPr>
          <w:rFonts w:hint="eastAsia" w:ascii="仿宋" w:hAnsi="仿宋" w:eastAsia="仿宋" w:cs="宋体"/>
          <w:color w:val="000000"/>
          <w:sz w:val="28"/>
          <w:szCs w:val="28"/>
        </w:rPr>
      </w:pPr>
    </w:p>
    <w:p w14:paraId="487BB174">
      <w:pPr>
        <w:pStyle w:val="2"/>
        <w:rPr>
          <w:rFonts w:hint="eastAsia" w:ascii="仿宋" w:hAnsi="仿宋" w:eastAsia="仿宋" w:cs="宋体"/>
          <w:color w:val="000000"/>
          <w:sz w:val="28"/>
          <w:szCs w:val="28"/>
        </w:rPr>
      </w:pPr>
    </w:p>
    <w:p w14:paraId="6CBF669C">
      <w:pPr>
        <w:pStyle w:val="2"/>
        <w:rPr>
          <w:rFonts w:hint="eastAsia" w:ascii="仿宋" w:hAnsi="仿宋" w:eastAsia="仿宋" w:cs="宋体"/>
          <w:color w:val="000000"/>
          <w:sz w:val="28"/>
          <w:szCs w:val="28"/>
        </w:rPr>
      </w:pPr>
    </w:p>
    <w:p w14:paraId="737B5685">
      <w:pPr>
        <w:pStyle w:val="2"/>
        <w:rPr>
          <w:rFonts w:hint="eastAsia" w:ascii="仿宋" w:hAnsi="仿宋" w:eastAsia="仿宋" w:cs="宋体"/>
          <w:color w:val="000000"/>
          <w:sz w:val="28"/>
          <w:szCs w:val="28"/>
        </w:rPr>
      </w:pPr>
    </w:p>
    <w:p w14:paraId="287B746C">
      <w:pPr>
        <w:pStyle w:val="2"/>
        <w:rPr>
          <w:rFonts w:hint="eastAsia" w:ascii="仿宋" w:hAnsi="仿宋" w:eastAsia="仿宋" w:cs="宋体"/>
          <w:color w:val="000000"/>
          <w:sz w:val="28"/>
          <w:szCs w:val="28"/>
        </w:rPr>
      </w:pPr>
    </w:p>
    <w:p w14:paraId="1DB6310F">
      <w:pPr>
        <w:pStyle w:val="2"/>
        <w:rPr>
          <w:rFonts w:hint="eastAsia" w:ascii="仿宋" w:hAnsi="仿宋" w:eastAsia="仿宋" w:cs="宋体"/>
          <w:color w:val="000000"/>
          <w:sz w:val="28"/>
          <w:szCs w:val="28"/>
        </w:rPr>
      </w:pPr>
    </w:p>
    <w:p w14:paraId="51D9777C">
      <w:pPr>
        <w:pStyle w:val="2"/>
        <w:rPr>
          <w:rFonts w:hint="eastAsia" w:ascii="仿宋" w:hAnsi="仿宋" w:eastAsia="仿宋" w:cs="宋体"/>
          <w:color w:val="000000"/>
          <w:sz w:val="28"/>
          <w:szCs w:val="28"/>
        </w:rPr>
      </w:pPr>
    </w:p>
    <w:p w14:paraId="44C6AD63">
      <w:pPr>
        <w:pStyle w:val="2"/>
        <w:rPr>
          <w:rFonts w:hint="eastAsia" w:ascii="仿宋" w:hAnsi="仿宋" w:eastAsia="仿宋" w:cs="宋体"/>
          <w:color w:val="000000"/>
          <w:sz w:val="28"/>
          <w:szCs w:val="28"/>
        </w:rPr>
      </w:pPr>
    </w:p>
    <w:p w14:paraId="213D5622">
      <w:pPr>
        <w:pStyle w:val="2"/>
        <w:rPr>
          <w:rFonts w:hint="eastAsia" w:ascii="仿宋" w:hAnsi="仿宋" w:eastAsia="仿宋" w:cs="宋体"/>
          <w:color w:val="000000"/>
          <w:sz w:val="28"/>
          <w:szCs w:val="28"/>
        </w:rPr>
      </w:pPr>
    </w:p>
    <w:p w14:paraId="4660D1FB">
      <w:pPr>
        <w:pStyle w:val="2"/>
        <w:rPr>
          <w:rFonts w:hint="eastAsia" w:ascii="仿宋" w:hAnsi="仿宋" w:eastAsia="仿宋" w:cs="宋体"/>
          <w:color w:val="000000"/>
          <w:sz w:val="28"/>
          <w:szCs w:val="28"/>
        </w:rPr>
      </w:pPr>
    </w:p>
    <w:p w14:paraId="635DAB04">
      <w:pPr>
        <w:pStyle w:val="2"/>
        <w:rPr>
          <w:rFonts w:hint="eastAsia" w:ascii="仿宋" w:hAnsi="仿宋" w:eastAsia="仿宋" w:cs="宋体"/>
          <w:color w:val="000000"/>
          <w:sz w:val="28"/>
          <w:szCs w:val="28"/>
        </w:rPr>
      </w:pPr>
    </w:p>
    <w:p w14:paraId="3259308E">
      <w:pPr>
        <w:pStyle w:val="2"/>
        <w:rPr>
          <w:rFonts w:hint="eastAsia" w:ascii="仿宋" w:hAnsi="仿宋" w:eastAsia="仿宋" w:cs="宋体"/>
          <w:color w:val="000000"/>
          <w:sz w:val="28"/>
          <w:szCs w:val="28"/>
        </w:rPr>
      </w:pPr>
    </w:p>
    <w:p w14:paraId="76F68451">
      <w:pPr>
        <w:pStyle w:val="2"/>
        <w:rPr>
          <w:rFonts w:hint="eastAsia" w:ascii="仿宋" w:hAnsi="仿宋" w:eastAsia="仿宋" w:cs="宋体"/>
          <w:color w:val="000000"/>
          <w:sz w:val="28"/>
          <w:szCs w:val="28"/>
        </w:rPr>
      </w:pPr>
    </w:p>
    <w:tbl>
      <w:tblPr>
        <w:tblStyle w:val="12"/>
        <w:tblpPr w:leftFromText="180" w:rightFromText="180" w:vertAnchor="text" w:horzAnchor="page" w:tblpX="1846" w:tblpY="1298"/>
        <w:tblOverlap w:val="never"/>
        <w:tblW w:w="467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4"/>
        <w:gridCol w:w="4173"/>
      </w:tblGrid>
      <w:tr w14:paraId="334F2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8" w:type="pct"/>
            <w:noWrap w:val="0"/>
            <w:vAlign w:val="center"/>
          </w:tcPr>
          <w:p w14:paraId="6418DED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甲方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河池市城投城市运营管理有限公司</w:t>
            </w:r>
          </w:p>
        </w:tc>
        <w:tc>
          <w:tcPr>
            <w:tcW w:w="2461" w:type="pct"/>
            <w:noWrap w:val="0"/>
            <w:vAlign w:val="center"/>
          </w:tcPr>
          <w:p w14:paraId="61792EC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乙方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（盖章）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  <w:tr w14:paraId="16841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8" w:type="pct"/>
            <w:noWrap w:val="0"/>
            <w:vAlign w:val="center"/>
          </w:tcPr>
          <w:p w14:paraId="38A5FF2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(签字）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2461" w:type="pct"/>
            <w:shd w:val="clear" w:color="auto" w:fill="auto"/>
            <w:noWrap w:val="0"/>
            <w:vAlign w:val="center"/>
          </w:tcPr>
          <w:p w14:paraId="4B2DAD0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（签字）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  <w:tr w14:paraId="12907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8" w:type="pct"/>
            <w:noWrap w:val="0"/>
            <w:vAlign w:val="center"/>
          </w:tcPr>
          <w:p w14:paraId="6410AA7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话：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0778-2280640</w:t>
            </w:r>
          </w:p>
        </w:tc>
        <w:tc>
          <w:tcPr>
            <w:tcW w:w="2461" w:type="pct"/>
            <w:noWrap w:val="0"/>
            <w:vAlign w:val="center"/>
          </w:tcPr>
          <w:p w14:paraId="478C03D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话：</w:t>
            </w:r>
          </w:p>
        </w:tc>
      </w:tr>
      <w:tr w14:paraId="5BD099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8" w:type="pct"/>
            <w:noWrap w:val="0"/>
            <w:vAlign w:val="center"/>
          </w:tcPr>
          <w:p w14:paraId="7E7C6F5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地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址：</w:t>
            </w:r>
          </w:p>
        </w:tc>
        <w:tc>
          <w:tcPr>
            <w:tcW w:w="2461" w:type="pct"/>
            <w:noWrap w:val="0"/>
            <w:vAlign w:val="center"/>
          </w:tcPr>
          <w:p w14:paraId="6F95BD3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地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址：</w:t>
            </w:r>
          </w:p>
        </w:tc>
      </w:tr>
      <w:tr w14:paraId="36FCB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8" w:type="pct"/>
            <w:noWrap w:val="0"/>
            <w:vAlign w:val="center"/>
          </w:tcPr>
          <w:p w14:paraId="0A6FD41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经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办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2461" w:type="pct"/>
            <w:noWrap w:val="0"/>
            <w:vAlign w:val="center"/>
          </w:tcPr>
          <w:p w14:paraId="19AA2C3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经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办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  <w:tr w14:paraId="75B55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8" w:type="pct"/>
            <w:noWrap w:val="0"/>
            <w:vAlign w:val="center"/>
          </w:tcPr>
          <w:p w14:paraId="7C97B36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开户银行：</w:t>
            </w:r>
          </w:p>
        </w:tc>
        <w:tc>
          <w:tcPr>
            <w:tcW w:w="2461" w:type="pct"/>
            <w:noWrap w:val="0"/>
            <w:vAlign w:val="center"/>
          </w:tcPr>
          <w:p w14:paraId="7010C7F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开户银行：</w:t>
            </w:r>
          </w:p>
        </w:tc>
      </w:tr>
      <w:tr w14:paraId="755F6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8" w:type="pct"/>
            <w:noWrap w:val="0"/>
            <w:vAlign w:val="center"/>
          </w:tcPr>
          <w:p w14:paraId="1B5C636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2461" w:type="pct"/>
            <w:noWrap w:val="0"/>
            <w:vAlign w:val="center"/>
          </w:tcPr>
          <w:p w14:paraId="59B78BC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  <w:tr w14:paraId="4655A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8" w:type="pct"/>
            <w:noWrap w:val="0"/>
            <w:vAlign w:val="center"/>
          </w:tcPr>
          <w:p w14:paraId="16B28F1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纳税人识别号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6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2461" w:type="pct"/>
            <w:noWrap w:val="0"/>
            <w:vAlign w:val="center"/>
          </w:tcPr>
          <w:p w14:paraId="24DF49C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纳税人识别号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6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  <w:tr w14:paraId="05A55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8" w:type="pct"/>
            <w:noWrap w:val="0"/>
            <w:vAlign w:val="center"/>
          </w:tcPr>
          <w:p w14:paraId="7C0DE3A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签订日期：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461" w:type="pct"/>
            <w:noWrap w:val="0"/>
            <w:vAlign w:val="center"/>
          </w:tcPr>
          <w:p w14:paraId="41CAA47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签订日期：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62DE2AA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firstLine="2520" w:firstLineChars="9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宋体"/>
          <w:color w:val="000000"/>
          <w:sz w:val="28"/>
          <w:szCs w:val="28"/>
        </w:rPr>
        <w:t>以下无正文（合同签字页）</w:t>
      </w:r>
    </w:p>
    <w:p w14:paraId="179E8712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43D91645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3182B50F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077D5B47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1200BF49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213FF581">
      <w:pPr>
        <w:pStyle w:val="2"/>
        <w:rPr>
          <w:rFonts w:hint="eastAsia"/>
          <w:color w:val="auto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B39D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89E2F2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89E2F2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5DC63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0D11EF"/>
    <w:multiLevelType w:val="singleLevel"/>
    <w:tmpl w:val="830D11EF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22ABED77"/>
    <w:multiLevelType w:val="singleLevel"/>
    <w:tmpl w:val="22ABED7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13B4018"/>
    <w:multiLevelType w:val="singleLevel"/>
    <w:tmpl w:val="713B4018"/>
    <w:lvl w:ilvl="0" w:tentative="0">
      <w:start w:val="1"/>
      <w:numFmt w:val="upperLetter"/>
      <w:pStyle w:val="4"/>
      <w:lvlText w:val="%1."/>
      <w:lvlJc w:val="left"/>
      <w:pPr>
        <w:tabs>
          <w:tab w:val="left" w:pos="315"/>
        </w:tabs>
        <w:ind w:left="315" w:hanging="315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1NTMwNzg2MzRlMDc0NjM0YTgxNjE1YWFhN2EwNDQifQ=="/>
  </w:docVars>
  <w:rsids>
    <w:rsidRoot w:val="53944F5A"/>
    <w:rsid w:val="0052726E"/>
    <w:rsid w:val="013B362F"/>
    <w:rsid w:val="01EA7F33"/>
    <w:rsid w:val="028E77C9"/>
    <w:rsid w:val="02B9669E"/>
    <w:rsid w:val="03576C1A"/>
    <w:rsid w:val="03922815"/>
    <w:rsid w:val="049B7F96"/>
    <w:rsid w:val="07D20C92"/>
    <w:rsid w:val="09183888"/>
    <w:rsid w:val="0B191809"/>
    <w:rsid w:val="0CE125CD"/>
    <w:rsid w:val="0EB95483"/>
    <w:rsid w:val="0FE663C2"/>
    <w:rsid w:val="114A2981"/>
    <w:rsid w:val="156B3EDE"/>
    <w:rsid w:val="172B0B5F"/>
    <w:rsid w:val="191F46F3"/>
    <w:rsid w:val="203E3157"/>
    <w:rsid w:val="20623843"/>
    <w:rsid w:val="22A63D70"/>
    <w:rsid w:val="22F3650C"/>
    <w:rsid w:val="23FD0CBE"/>
    <w:rsid w:val="24EE1B49"/>
    <w:rsid w:val="25657549"/>
    <w:rsid w:val="27D84AB4"/>
    <w:rsid w:val="28476911"/>
    <w:rsid w:val="28481571"/>
    <w:rsid w:val="29B9024C"/>
    <w:rsid w:val="29D06CB4"/>
    <w:rsid w:val="29FE7F27"/>
    <w:rsid w:val="2A866380"/>
    <w:rsid w:val="2BC5112A"/>
    <w:rsid w:val="2D947006"/>
    <w:rsid w:val="2DA359FB"/>
    <w:rsid w:val="2DE06013"/>
    <w:rsid w:val="2EDB645A"/>
    <w:rsid w:val="2FE22EEB"/>
    <w:rsid w:val="327318E0"/>
    <w:rsid w:val="341A0E58"/>
    <w:rsid w:val="39643D30"/>
    <w:rsid w:val="39721514"/>
    <w:rsid w:val="39CD01E2"/>
    <w:rsid w:val="3A3E0D7C"/>
    <w:rsid w:val="3A455068"/>
    <w:rsid w:val="3ACE71F1"/>
    <w:rsid w:val="3B854432"/>
    <w:rsid w:val="3BB014AF"/>
    <w:rsid w:val="3DC70D32"/>
    <w:rsid w:val="3DF9792B"/>
    <w:rsid w:val="3E3C5849"/>
    <w:rsid w:val="3EF04AA9"/>
    <w:rsid w:val="40E54903"/>
    <w:rsid w:val="422B3F54"/>
    <w:rsid w:val="42BF647C"/>
    <w:rsid w:val="42C910A8"/>
    <w:rsid w:val="431A331F"/>
    <w:rsid w:val="47AC1233"/>
    <w:rsid w:val="49117305"/>
    <w:rsid w:val="4C863298"/>
    <w:rsid w:val="4EAD2033"/>
    <w:rsid w:val="4EEA2AD2"/>
    <w:rsid w:val="51EE4687"/>
    <w:rsid w:val="53845AFF"/>
    <w:rsid w:val="53944F5A"/>
    <w:rsid w:val="544761E0"/>
    <w:rsid w:val="559F27BF"/>
    <w:rsid w:val="56D6689A"/>
    <w:rsid w:val="577E66ED"/>
    <w:rsid w:val="59100357"/>
    <w:rsid w:val="5E5A4EF6"/>
    <w:rsid w:val="60C018E5"/>
    <w:rsid w:val="616F7CA4"/>
    <w:rsid w:val="652A4208"/>
    <w:rsid w:val="6B234934"/>
    <w:rsid w:val="6B2F38EF"/>
    <w:rsid w:val="6B602C4E"/>
    <w:rsid w:val="6C0B610A"/>
    <w:rsid w:val="6C0E79A8"/>
    <w:rsid w:val="6E032E11"/>
    <w:rsid w:val="71CC1BF7"/>
    <w:rsid w:val="73025D8D"/>
    <w:rsid w:val="738C31F8"/>
    <w:rsid w:val="76E8748B"/>
    <w:rsid w:val="79483E82"/>
    <w:rsid w:val="7AA86067"/>
    <w:rsid w:val="7DE46BC8"/>
    <w:rsid w:val="7EF26BD5"/>
    <w:rsid w:val="7F51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qFormat/>
    <w:uiPriority w:val="0"/>
    <w:pPr>
      <w:keepNext/>
      <w:numPr>
        <w:ilvl w:val="0"/>
        <w:numId w:val="1"/>
      </w:numPr>
      <w:spacing w:line="360" w:lineRule="auto"/>
      <w:outlineLvl w:val="1"/>
    </w:pPr>
    <w:rPr>
      <w:b/>
      <w:sz w:val="24"/>
      <w:szCs w:val="20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Body Text Indent"/>
    <w:basedOn w:val="1"/>
    <w:unhideWhenUsed/>
    <w:qFormat/>
    <w:uiPriority w:val="0"/>
    <w:pPr>
      <w:ind w:firstLine="640" w:firstLineChars="200"/>
    </w:pPr>
    <w:rPr>
      <w:kern w:val="0"/>
      <w:sz w:val="32"/>
    </w:r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2"/>
    <w:basedOn w:val="1"/>
    <w:next w:val="1"/>
    <w:semiHidden/>
    <w:qFormat/>
    <w:uiPriority w:val="0"/>
    <w:pPr>
      <w:ind w:left="210"/>
      <w:jc w:val="left"/>
    </w:pPr>
    <w:rPr>
      <w:rFonts w:ascii="Times New Roman" w:hAnsi="Times New Roman"/>
      <w:smallCaps/>
      <w:sz w:val="20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5"/>
    <w:qFormat/>
    <w:uiPriority w:val="99"/>
    <w:pPr>
      <w:ind w:firstLine="420" w:firstLineChars="1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qFormat/>
    <w:uiPriority w:val="0"/>
    <w:rPr>
      <w:color w:val="0000FF"/>
      <w:u w:val="single"/>
    </w:rPr>
  </w:style>
  <w:style w:type="paragraph" w:customStyle="1" w:styleId="18">
    <w:name w:val="标准正文"/>
    <w:basedOn w:val="1"/>
    <w:qFormat/>
    <w:uiPriority w:val="0"/>
    <w:pPr>
      <w:widowControl/>
      <w:spacing w:line="360" w:lineRule="auto"/>
      <w:ind w:firstLine="480" w:firstLineChars="200"/>
      <w:jc w:val="left"/>
    </w:pPr>
    <w:rPr>
      <w:rFonts w:ascii="Calibri" w:hAnsi="Calibri" w:eastAsia="宋体" w:cs="Times New Roman"/>
      <w:bCs/>
      <w:sz w:val="24"/>
      <w:szCs w:val="22"/>
      <w:u w:val="single"/>
    </w:rPr>
  </w:style>
  <w:style w:type="paragraph" w:customStyle="1" w:styleId="19">
    <w:name w:val="引言二级条标题"/>
    <w:basedOn w:val="20"/>
    <w:next w:val="21"/>
    <w:qFormat/>
    <w:uiPriority w:val="0"/>
    <w:pPr>
      <w:ind w:left="0" w:firstLine="0"/>
    </w:pPr>
    <w:rPr>
      <w:rFonts w:eastAsia="宋体"/>
    </w:rPr>
  </w:style>
  <w:style w:type="paragraph" w:customStyle="1" w:styleId="20">
    <w:name w:val="引言一级条标题"/>
    <w:basedOn w:val="1"/>
    <w:next w:val="21"/>
    <w:qFormat/>
    <w:uiPriority w:val="0"/>
    <w:pPr>
      <w:widowControl/>
      <w:spacing w:beforeAutospacing="1" w:afterAutospacing="1"/>
      <w:ind w:left="900" w:hanging="900"/>
    </w:pPr>
    <w:rPr>
      <w:rFonts w:eastAsia="黑体"/>
      <w:b/>
      <w:bCs/>
    </w:rPr>
  </w:style>
  <w:style w:type="paragraph" w:customStyle="1" w:styleId="21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2">
    <w:name w:val="正文_0"/>
    <w:next w:val="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正文文本_0"/>
    <w:basedOn w:val="22"/>
    <w:qFormat/>
    <w:uiPriority w:val="0"/>
    <w:pPr>
      <w:spacing w:after="120" w:afterLines="0"/>
    </w:pPr>
  </w:style>
  <w:style w:type="paragraph" w:customStyle="1" w:styleId="24">
    <w:name w:val="Table Paragraph"/>
    <w:basedOn w:val="1"/>
    <w:qFormat/>
    <w:uiPriority w:val="1"/>
    <w:pPr>
      <w:spacing w:before="40"/>
      <w:ind w:left="106"/>
      <w:jc w:val="center"/>
    </w:pPr>
  </w:style>
  <w:style w:type="paragraph" w:styleId="2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4103</Words>
  <Characters>4447</Characters>
  <Lines>0</Lines>
  <Paragraphs>0</Paragraphs>
  <TotalTime>14</TotalTime>
  <ScaleCrop>false</ScaleCrop>
  <LinksUpToDate>false</LinksUpToDate>
  <CharactersWithSpaces>4893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2022-05-05T07:27:00Z</dcterms:created>
  <dc:creator>第二工程公司</dc:creator>
  <cp:lastModifiedBy>椰子糖</cp:lastModifiedBy>
  <cp:lastPrinted>2023-06-05T01:27:00Z</cp:lastPrinted>
  <dcterms:modified xsi:type="dcterms:W3CDTF">2026-01-26T01:27:36Z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097376E823854322B5E449DD2750657A_13</vt:lpwstr>
  </property>
  <property fmtid="{D5CDD505-2E9C-101B-9397-08002B2CF9AE}" pid="4" name="KSOTemplateDocerSaveRecord">
    <vt:lpwstr>eyJoZGlkIjoiZTA3MTc3ZTY5OTcxY2NlYmVkMTM5NjAyMGMyZDRhMmUiLCJ1c2VySWQiOiI0MDE1NzAyOTQifQ==</vt:lpwstr>
  </property>
</Properties>
</file>