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0D017">
      <w:pPr>
        <w:pStyle w:val="15"/>
        <w:tabs>
          <w:tab w:val="left" w:pos="2931"/>
        </w:tabs>
        <w:rPr>
          <w:rFonts w:hint="default" w:ascii="仿宋_GB2312" w:hAnsi="仿宋" w:eastAsia="仿宋_GB2312" w:cs="仿宋"/>
          <w:b/>
          <w:bCs w:val="0"/>
          <w:color w:val="auto"/>
          <w:sz w:val="24"/>
          <w:szCs w:val="24"/>
          <w:lang w:val="en-US" w:eastAsia="zh-CN"/>
        </w:rPr>
      </w:pPr>
      <w:bookmarkStart w:id="10" w:name="_GoBack"/>
      <w:bookmarkEnd w:id="10"/>
      <w:r>
        <w:rPr>
          <w:rFonts w:hint="eastAsia" w:ascii="仿宋_GB2312" w:hAnsi="仿宋" w:eastAsia="仿宋_GB2312" w:cs="仿宋"/>
          <w:b/>
          <w:bCs w:val="0"/>
          <w:color w:val="auto"/>
          <w:sz w:val="24"/>
          <w:szCs w:val="24"/>
          <w:lang w:val="en-US" w:eastAsia="zh-CN"/>
        </w:rPr>
        <w:t>附件1</w:t>
      </w:r>
    </w:p>
    <w:p w14:paraId="22D01AB4">
      <w:pPr>
        <w:pStyle w:val="15"/>
        <w:rPr>
          <w:rFonts w:hint="default"/>
          <w:color w:val="auto"/>
          <w:lang w:val="en-US" w:eastAsia="zh-CN"/>
        </w:rPr>
      </w:pPr>
    </w:p>
    <w:p w14:paraId="2A968330">
      <w:pPr>
        <w:spacing w:line="360" w:lineRule="auto"/>
        <w:jc w:val="center"/>
        <w:rPr>
          <w:rFonts w:hint="eastAsia" w:ascii="宋体" w:hAnsi="宋体" w:eastAsia="宋体" w:cs="Times New Roman"/>
          <w:color w:val="auto"/>
          <w:kern w:val="2"/>
          <w:sz w:val="44"/>
          <w:szCs w:val="44"/>
          <w:lang w:val="en-US" w:eastAsia="zh-CN" w:bidi="ar-SA"/>
        </w:rPr>
      </w:pPr>
      <w:r>
        <w:rPr>
          <w:rFonts w:hint="eastAsia" w:ascii="宋体" w:hAnsi="宋体" w:eastAsia="宋体" w:cs="Times New Roman"/>
          <w:color w:val="auto"/>
          <w:kern w:val="2"/>
          <w:sz w:val="44"/>
          <w:szCs w:val="44"/>
          <w:lang w:val="en-US" w:eastAsia="zh-CN" w:bidi="ar-SA"/>
        </w:rPr>
        <w:t>报 价 表</w:t>
      </w:r>
    </w:p>
    <w:p w14:paraId="4234DB44">
      <w:pPr>
        <w:spacing w:line="360" w:lineRule="auto"/>
        <w:ind w:firstLine="3640" w:firstLineChars="1300"/>
        <w:rPr>
          <w:rFonts w:hint="eastAsia" w:ascii="宋体" w:hAnsi="宋体" w:eastAsia="宋体" w:cs="Times New Roman"/>
          <w:color w:val="auto"/>
          <w:kern w:val="2"/>
          <w:sz w:val="28"/>
          <w:szCs w:val="28"/>
          <w:lang w:val="en-US" w:eastAsia="zh-CN" w:bidi="ar-SA"/>
        </w:rPr>
      </w:pPr>
    </w:p>
    <w:p w14:paraId="4D86E49D">
      <w:pPr>
        <w:spacing w:line="360" w:lineRule="auto"/>
        <w:rPr>
          <w:rFonts w:hint="eastAsia" w:ascii="宋体" w:hAnsi="宋体" w:eastAsia="宋体" w:cs="Times New Roman"/>
          <w:color w:val="auto"/>
          <w:kern w:val="2"/>
          <w:sz w:val="28"/>
          <w:szCs w:val="28"/>
          <w:u w:val="single"/>
          <w:lang w:val="en-US" w:eastAsia="zh-CN" w:bidi="ar-SA"/>
        </w:rPr>
      </w:pPr>
      <w:r>
        <w:rPr>
          <w:rFonts w:hint="eastAsia" w:ascii="宋体" w:hAnsi="宋体" w:eastAsia="宋体" w:cs="Times New Roman"/>
          <w:color w:val="auto"/>
          <w:kern w:val="2"/>
          <w:sz w:val="28"/>
          <w:szCs w:val="28"/>
          <w:lang w:val="en-US" w:eastAsia="zh-CN" w:bidi="ar-SA"/>
        </w:rPr>
        <w:t>投标单位（公章）：</w:t>
      </w:r>
      <w:r>
        <w:rPr>
          <w:rFonts w:hint="eastAsia" w:ascii="宋体" w:hAnsi="宋体" w:eastAsia="宋体" w:cs="Times New Roman"/>
          <w:color w:val="auto"/>
          <w:kern w:val="2"/>
          <w:sz w:val="28"/>
          <w:szCs w:val="28"/>
          <w:u w:val="single"/>
          <w:lang w:val="en-US" w:eastAsia="zh-CN" w:bidi="ar-SA"/>
        </w:rPr>
        <w:t xml:space="preserve">                                </w:t>
      </w:r>
    </w:p>
    <w:p w14:paraId="6DE77E90">
      <w:pPr>
        <w:spacing w:line="360" w:lineRule="auto"/>
        <w:ind w:firstLine="3640" w:firstLineChars="1300"/>
        <w:rPr>
          <w:rFonts w:hint="eastAsia" w:ascii="宋体" w:hAnsi="宋体" w:eastAsia="宋体" w:cs="Times New Roman"/>
          <w:color w:val="auto"/>
          <w:kern w:val="2"/>
          <w:sz w:val="28"/>
          <w:szCs w:val="28"/>
          <w:lang w:val="en-US" w:eastAsia="zh-CN" w:bidi="ar-SA"/>
        </w:rPr>
      </w:pPr>
    </w:p>
    <w:p w14:paraId="0CC8929E">
      <w:pPr>
        <w:spacing w:line="360" w:lineRule="auto"/>
        <w:ind w:left="1400" w:hanging="1400" w:hangingChars="500"/>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项目名称：</w:t>
      </w:r>
      <w:r>
        <w:rPr>
          <w:rFonts w:hint="eastAsia" w:ascii="宋体" w:hAnsi="宋体" w:eastAsia="宋体" w:cs="Times New Roman"/>
          <w:color w:val="auto"/>
          <w:sz w:val="28"/>
          <w:szCs w:val="28"/>
          <w:u w:val="single"/>
          <w:lang w:val="en-US" w:eastAsia="zh-CN"/>
        </w:rPr>
        <w:t>广西金益商贸物流有限公司</w:t>
      </w:r>
      <w:r>
        <w:rPr>
          <w:rFonts w:hint="eastAsia" w:hAnsi="宋体" w:eastAsia="宋体" w:cs="Times New Roman"/>
          <w:color w:val="auto"/>
          <w:sz w:val="28"/>
          <w:szCs w:val="28"/>
          <w:u w:val="single"/>
          <w:lang w:val="en-US" w:eastAsia="zh-CN"/>
        </w:rPr>
        <w:t>贸易</w:t>
      </w:r>
      <w:r>
        <w:rPr>
          <w:rFonts w:hint="eastAsia" w:ascii="宋体" w:hAnsi="宋体" w:eastAsia="宋体" w:cs="Times New Roman"/>
          <w:color w:val="auto"/>
          <w:sz w:val="28"/>
          <w:szCs w:val="28"/>
          <w:u w:val="single"/>
          <w:lang w:val="en-US" w:eastAsia="zh-CN"/>
        </w:rPr>
        <w:t>资产评估</w:t>
      </w:r>
      <w:r>
        <w:rPr>
          <w:rFonts w:hint="eastAsia" w:hAnsi="宋体" w:eastAsia="宋体" w:cs="Times New Roman"/>
          <w:color w:val="auto"/>
          <w:sz w:val="28"/>
          <w:szCs w:val="28"/>
          <w:u w:val="single"/>
          <w:lang w:val="en-US" w:eastAsia="zh-CN"/>
        </w:rPr>
        <w:t>服务</w:t>
      </w:r>
    </w:p>
    <w:p w14:paraId="31138071">
      <w:pPr>
        <w:spacing w:line="360" w:lineRule="auto"/>
        <w:rPr>
          <w:rFonts w:hint="eastAsia" w:ascii="宋体" w:hAnsi="宋体" w:eastAsia="宋体" w:cs="Times New Roman"/>
          <w:color w:val="auto"/>
          <w:kern w:val="2"/>
          <w:sz w:val="28"/>
          <w:szCs w:val="28"/>
          <w:lang w:val="en-US" w:eastAsia="zh-CN" w:bidi="ar-SA"/>
        </w:rPr>
      </w:pPr>
    </w:p>
    <w:p w14:paraId="5253A0C5">
      <w:pPr>
        <w:spacing w:line="360" w:lineRule="auto"/>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项目编号：</w:t>
      </w:r>
      <w:r>
        <w:rPr>
          <w:rFonts w:hint="eastAsia" w:ascii="宋体" w:hAnsi="宋体" w:eastAsia="宋体" w:cs="Times New Roman"/>
          <w:color w:val="auto"/>
          <w:kern w:val="2"/>
          <w:sz w:val="28"/>
          <w:szCs w:val="28"/>
          <w:u w:val="single"/>
          <w:lang w:val="en-US" w:eastAsia="zh-CN" w:bidi="ar-SA"/>
        </w:rPr>
        <w:t>HCCT2025029号</w:t>
      </w:r>
      <w:r>
        <w:rPr>
          <w:rFonts w:hint="eastAsia" w:ascii="宋体" w:hAnsi="宋体" w:eastAsia="宋体" w:cs="Times New Roman"/>
          <w:color w:val="auto"/>
          <w:kern w:val="2"/>
          <w:sz w:val="28"/>
          <w:szCs w:val="28"/>
          <w:lang w:val="en-US" w:eastAsia="zh-CN" w:bidi="ar-SA"/>
        </w:rPr>
        <w:t xml:space="preserve"> </w:t>
      </w:r>
    </w:p>
    <w:p w14:paraId="5FC0741F">
      <w:pPr>
        <w:spacing w:line="360" w:lineRule="auto"/>
        <w:rPr>
          <w:rFonts w:hint="eastAsia" w:ascii="宋体" w:hAnsi="宋体" w:eastAsia="宋体" w:cs="Times New Roman"/>
          <w:color w:val="auto"/>
          <w:kern w:val="2"/>
          <w:sz w:val="28"/>
          <w:szCs w:val="28"/>
          <w:lang w:val="en-US" w:eastAsia="zh-CN" w:bidi="ar-SA"/>
        </w:rPr>
      </w:pPr>
    </w:p>
    <w:p w14:paraId="32087E82">
      <w:pPr>
        <w:spacing w:line="360" w:lineRule="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报价金额（小写）：</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14:paraId="695F1D82">
      <w:pPr>
        <w:spacing w:line="360" w:lineRule="auto"/>
        <w:ind w:firstLine="1120" w:firstLineChars="4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（大写）：</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14:paraId="655DC237">
      <w:pPr>
        <w:spacing w:line="360" w:lineRule="auto"/>
        <w:ind w:firstLine="3640" w:firstLineChars="13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                                </w:t>
      </w:r>
    </w:p>
    <w:p w14:paraId="74EEB029">
      <w:pPr>
        <w:spacing w:line="360" w:lineRule="auto"/>
        <w:ind w:firstLine="4760" w:firstLineChars="1700"/>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年   月   日                    </w:t>
      </w:r>
    </w:p>
    <w:p w14:paraId="59CBF7DE">
      <w:pPr>
        <w:pStyle w:val="3"/>
        <w:jc w:val="both"/>
        <w:rPr>
          <w:rFonts w:hint="eastAsia" w:hAnsi="宋体" w:eastAsia="宋体" w:cs="Times New Roman"/>
          <w:color w:val="auto"/>
        </w:rPr>
      </w:pPr>
    </w:p>
    <w:p w14:paraId="1EA52015">
      <w:pPr>
        <w:pStyle w:val="2"/>
        <w:rPr>
          <w:rFonts w:hint="eastAsia" w:hAnsi="宋体" w:eastAsia="宋体" w:cs="Times New Roman"/>
          <w:color w:val="auto"/>
        </w:rPr>
      </w:pPr>
    </w:p>
    <w:p w14:paraId="619DBB19">
      <w:pPr>
        <w:pStyle w:val="2"/>
        <w:rPr>
          <w:rFonts w:hint="eastAsia" w:hAnsi="宋体" w:eastAsia="宋体" w:cs="Times New Roman"/>
          <w:color w:val="auto"/>
        </w:rPr>
      </w:pPr>
    </w:p>
    <w:p w14:paraId="2CB83805">
      <w:pPr>
        <w:pStyle w:val="2"/>
        <w:rPr>
          <w:rFonts w:hint="eastAsia" w:hAnsi="宋体" w:eastAsia="宋体" w:cs="Times New Roman"/>
          <w:color w:val="auto"/>
        </w:rPr>
      </w:pPr>
    </w:p>
    <w:p w14:paraId="0F30E8DE">
      <w:pPr>
        <w:rPr>
          <w:rFonts w:hint="eastAsia"/>
          <w:color w:val="auto"/>
        </w:rPr>
      </w:pPr>
    </w:p>
    <w:p w14:paraId="0A68F668">
      <w:pPr>
        <w:rPr>
          <w:rFonts w:hint="eastAsia" w:ascii="仿宋_GB2312" w:eastAsia="仿宋_GB2312" w:hAnsiTheme="minorHAnsi" w:cstheme="minorBidi"/>
          <w:b/>
          <w:bCs/>
          <w:color w:val="auto"/>
          <w:sz w:val="32"/>
          <w:szCs w:val="32"/>
          <w:lang w:eastAsia="zh-CN"/>
        </w:rPr>
      </w:pPr>
      <w:r>
        <w:rPr>
          <w:rFonts w:hint="eastAsia" w:ascii="仿宋_GB2312" w:eastAsia="仿宋_GB2312"/>
          <w:b/>
          <w:bCs/>
          <w:color w:val="auto"/>
        </w:rPr>
        <w:t>注：最高上限控制价为</w:t>
      </w:r>
      <w:r>
        <w:rPr>
          <w:rFonts w:hint="eastAsia" w:ascii="仿宋_GB2312" w:eastAsia="仿宋_GB2312"/>
          <w:b/>
          <w:bCs/>
          <w:color w:val="auto"/>
          <w:lang w:val="en-US" w:eastAsia="zh-CN"/>
        </w:rPr>
        <w:t>人民币55000.00</w:t>
      </w:r>
      <w:r>
        <w:rPr>
          <w:rFonts w:hint="eastAsia" w:ascii="仿宋_GB2312" w:eastAsia="仿宋_GB2312"/>
          <w:b/>
          <w:bCs/>
          <w:color w:val="auto"/>
        </w:rPr>
        <w:t xml:space="preserve">元，金额大小写要一致，否则无效。   </w:t>
      </w:r>
    </w:p>
    <w:p w14:paraId="7F6E93CC">
      <w:pPr>
        <w:pStyle w:val="15"/>
        <w:rPr>
          <w:rFonts w:hint="default"/>
          <w:color w:val="auto"/>
          <w:lang w:val="en-US" w:eastAsia="zh-CN"/>
        </w:rPr>
      </w:pPr>
    </w:p>
    <w:p w14:paraId="73274BA7">
      <w:pPr>
        <w:pStyle w:val="2"/>
      </w:pPr>
    </w:p>
    <w:p w14:paraId="5493E4EF">
      <w:pPr>
        <w:pStyle w:val="2"/>
      </w:pPr>
    </w:p>
    <w:p w14:paraId="714531E2">
      <w:pPr>
        <w:pStyle w:val="2"/>
      </w:pPr>
    </w:p>
    <w:p w14:paraId="5C67F9E2">
      <w:pPr>
        <w:pStyle w:val="2"/>
      </w:pPr>
    </w:p>
    <w:p w14:paraId="5FBE6E83">
      <w:pPr>
        <w:pStyle w:val="2"/>
      </w:pPr>
    </w:p>
    <w:p w14:paraId="3EA30FE8">
      <w:pPr>
        <w:pStyle w:val="2"/>
      </w:pPr>
    </w:p>
    <w:p w14:paraId="07F01E80">
      <w:pPr>
        <w:pStyle w:val="2"/>
      </w:pPr>
    </w:p>
    <w:p w14:paraId="18BB676C">
      <w:pPr>
        <w:pStyle w:val="2"/>
      </w:pPr>
    </w:p>
    <w:p w14:paraId="55AE37E3">
      <w:pPr>
        <w:pStyle w:val="15"/>
        <w:tabs>
          <w:tab w:val="left" w:pos="2931"/>
        </w:tabs>
        <w:rPr>
          <w:rFonts w:hint="eastAsia" w:ascii="仿宋_GB2312" w:hAnsi="仿宋" w:eastAsia="仿宋_GB2312" w:cs="仿宋"/>
          <w:b/>
          <w:bCs w:val="0"/>
          <w:color w:val="auto"/>
          <w:sz w:val="24"/>
          <w:szCs w:val="24"/>
          <w:lang w:val="en-US" w:eastAsia="zh-CN"/>
        </w:rPr>
      </w:pPr>
    </w:p>
    <w:p w14:paraId="02BDD7BB">
      <w:pPr>
        <w:pStyle w:val="15"/>
        <w:tabs>
          <w:tab w:val="left" w:pos="2931"/>
        </w:tabs>
        <w:rPr>
          <w:rFonts w:hint="eastAsia" w:ascii="仿宋_GB2312" w:hAnsi="仿宋" w:eastAsia="仿宋_GB2312" w:cs="仿宋"/>
          <w:b/>
          <w:bCs w:val="0"/>
          <w:color w:val="auto"/>
          <w:sz w:val="24"/>
          <w:szCs w:val="24"/>
          <w:lang w:val="en-US" w:eastAsia="zh-CN"/>
        </w:rPr>
      </w:pPr>
    </w:p>
    <w:p w14:paraId="7BC8DD70">
      <w:pPr>
        <w:pStyle w:val="15"/>
        <w:tabs>
          <w:tab w:val="left" w:pos="2931"/>
        </w:tabs>
        <w:rPr>
          <w:rFonts w:hint="eastAsia" w:ascii="仿宋_GB2312" w:hAnsi="仿宋" w:eastAsia="仿宋_GB2312" w:cs="仿宋"/>
          <w:b/>
          <w:bCs w:val="0"/>
          <w:color w:val="auto"/>
          <w:sz w:val="24"/>
          <w:szCs w:val="24"/>
          <w:lang w:val="en-US" w:eastAsia="zh-CN"/>
        </w:rPr>
      </w:pPr>
      <w:r>
        <w:rPr>
          <w:rFonts w:hint="eastAsia" w:ascii="仿宋_GB2312" w:hAnsi="仿宋" w:eastAsia="仿宋_GB2312" w:cs="仿宋"/>
          <w:b/>
          <w:bCs w:val="0"/>
          <w:color w:val="auto"/>
          <w:sz w:val="24"/>
          <w:szCs w:val="24"/>
          <w:lang w:val="en-US" w:eastAsia="zh-CN"/>
        </w:rPr>
        <w:t xml:space="preserve">附件2  </w:t>
      </w:r>
    </w:p>
    <w:p w14:paraId="00104B14">
      <w:pPr>
        <w:spacing w:line="600" w:lineRule="exact"/>
        <w:jc w:val="center"/>
        <w:rPr>
          <w:rFonts w:ascii="仿宋_GB2312" w:eastAsia="仿宋_GB2312"/>
          <w:b/>
          <w:bCs/>
          <w:sz w:val="44"/>
          <w:szCs w:val="44"/>
        </w:rPr>
      </w:pPr>
      <w:r>
        <w:rPr>
          <w:rFonts w:hint="eastAsia" w:ascii="仿宋_GB2312" w:eastAsia="仿宋_GB2312"/>
          <w:b/>
          <w:bCs/>
          <w:sz w:val="44"/>
          <w:szCs w:val="44"/>
        </w:rPr>
        <w:t>资产评估委托合同</w:t>
      </w:r>
    </w:p>
    <w:p w14:paraId="1004AD56">
      <w:pPr>
        <w:spacing w:line="600" w:lineRule="exact"/>
        <w:rPr>
          <w:rFonts w:ascii="仿宋_GB2312" w:eastAsia="仿宋_GB2312"/>
          <w:sz w:val="30"/>
          <w:szCs w:val="30"/>
        </w:rPr>
      </w:pPr>
      <w:r>
        <w:rPr>
          <w:rFonts w:hint="eastAsia" w:ascii="仿宋_GB2312" w:eastAsia="仿宋_GB2312"/>
          <w:sz w:val="30"/>
          <w:szCs w:val="30"/>
        </w:rPr>
        <w:t xml:space="preserve">                                   </w:t>
      </w:r>
    </w:p>
    <w:p w14:paraId="564716B7">
      <w:pPr>
        <w:spacing w:line="600" w:lineRule="exact"/>
        <w:ind w:firstLine="5100" w:firstLineChars="1700"/>
        <w:rPr>
          <w:rFonts w:asciiTheme="minorEastAsia" w:hAnsiTheme="minorEastAsia"/>
          <w:sz w:val="30"/>
          <w:szCs w:val="30"/>
        </w:rPr>
      </w:pPr>
      <w:r>
        <w:rPr>
          <w:rFonts w:hint="eastAsia" w:asciiTheme="minorEastAsia" w:hAnsiTheme="minorEastAsia"/>
          <w:sz w:val="30"/>
          <w:szCs w:val="30"/>
        </w:rPr>
        <w:t>合同编号：JYPGWT2025-09XX</w:t>
      </w:r>
    </w:p>
    <w:p w14:paraId="76D35F82">
      <w:pPr>
        <w:pStyle w:val="2"/>
      </w:pPr>
    </w:p>
    <w:p w14:paraId="27FEB1BE">
      <w:pPr>
        <w:spacing w:line="560" w:lineRule="exact"/>
        <w:ind w:firstLine="560" w:firstLineChars="200"/>
        <w:rPr>
          <w:rFonts w:ascii="宋体" w:hAnsi="宋体" w:eastAsia="宋体" w:cs="Times New Roman"/>
          <w:sz w:val="28"/>
          <w:szCs w:val="28"/>
        </w:rPr>
      </w:pPr>
      <w:r>
        <w:rPr>
          <w:rFonts w:hint="eastAsia" w:ascii="宋体" w:hAnsi="宋体" w:eastAsia="宋体" w:cs="宋体"/>
          <w:sz w:val="28"/>
          <w:szCs w:val="28"/>
        </w:rPr>
        <w:t>按照《中华人民共和国民法典》、《资产评估管理办法》、《中华人民共和国评估对象管理法》及其他有关法律、行政法规的规定，在遵循平等、自愿、公平和诚实信用的原则，</w:t>
      </w:r>
      <w:r>
        <w:rPr>
          <w:rFonts w:hint="eastAsia" w:ascii="宋体" w:hAnsi="宋体" w:eastAsia="宋体" w:cs="Times New Roman"/>
          <w:sz w:val="28"/>
          <w:szCs w:val="28"/>
        </w:rPr>
        <w:t xml:space="preserve">本合同书确认广西金益商贸物流有限公司（简称委托方）委托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（简称受托方）就其委托的资产进行评估，并将有关事项约定如下：</w:t>
      </w:r>
    </w:p>
    <w:p w14:paraId="5F1AB7ED">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一、业务内容</w:t>
      </w:r>
    </w:p>
    <w:p w14:paraId="65F244A4">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（一）委托方：广西金益商贸物流有限公司。</w:t>
      </w:r>
    </w:p>
    <w:p w14:paraId="635EA344">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（二）评估目的：确定委估资产市场价值，为委托方拟进行抵押担保提供价值参考。</w:t>
      </w:r>
    </w:p>
    <w:p w14:paraId="1F19F8A1">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（三）评估对象和评估范围：</w:t>
      </w:r>
    </w:p>
    <w:p w14:paraId="18546510">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评估对象和评估范围为环江毛南族自治县新发矿业有限责任公司（以下简称“新发公司”）采矿权，详见合同</w:t>
      </w:r>
      <w:bookmarkStart w:id="0" w:name="OLE_LINK5"/>
      <w:bookmarkStart w:id="1" w:name="OLE_LINK4"/>
      <w:r>
        <w:rPr>
          <w:rFonts w:hint="eastAsia" w:ascii="宋体" w:hAnsi="宋体" w:eastAsia="宋体" w:cs="Times New Roman"/>
          <w:sz w:val="28"/>
          <w:szCs w:val="28"/>
        </w:rPr>
        <w:t>附件1：</w:t>
      </w:r>
      <w:bookmarkStart w:id="2" w:name="OLE_LINK2"/>
      <w:bookmarkStart w:id="3" w:name="OLE_LINK3"/>
      <w:bookmarkStart w:id="4" w:name="OLE_LINK1"/>
      <w:r>
        <w:rPr>
          <w:rFonts w:hint="eastAsia" w:ascii="宋体" w:hAnsi="宋体" w:eastAsia="宋体" w:cs="Times New Roman"/>
          <w:sz w:val="28"/>
          <w:szCs w:val="28"/>
        </w:rPr>
        <w:t>新发公司资产评估申报明细表</w:t>
      </w:r>
      <w:bookmarkEnd w:id="0"/>
      <w:bookmarkEnd w:id="1"/>
      <w:bookmarkEnd w:id="2"/>
      <w:bookmarkEnd w:id="3"/>
      <w:bookmarkEnd w:id="4"/>
      <w:r>
        <w:rPr>
          <w:rFonts w:hint="eastAsia" w:ascii="宋体" w:hAnsi="宋体" w:eastAsia="宋体" w:cs="Times New Roman"/>
          <w:sz w:val="28"/>
          <w:szCs w:val="28"/>
        </w:rPr>
        <w:t>。</w:t>
      </w:r>
    </w:p>
    <w:p w14:paraId="22A4F6EF">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（四）评估基准日：</w:t>
      </w:r>
      <w:r>
        <w:rPr>
          <w:rFonts w:hint="eastAsia" w:ascii="宋体" w:hAnsi="宋体" w:eastAsia="宋体" w:cs="Times New Roman"/>
          <w:sz w:val="28"/>
          <w:szCs w:val="28"/>
          <w:u w:val="single"/>
        </w:rPr>
        <w:t>2025</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6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30 </w:t>
      </w:r>
      <w:r>
        <w:rPr>
          <w:rFonts w:hint="eastAsia" w:ascii="宋体" w:hAnsi="宋体" w:eastAsia="宋体" w:cs="Times New Roman"/>
          <w:sz w:val="28"/>
          <w:szCs w:val="28"/>
        </w:rPr>
        <w:t>日。</w:t>
      </w:r>
    </w:p>
    <w:p w14:paraId="0AEE37ED">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（五）报告使用者：委托方、资产占有方及国家法律、法规规定的评估报告使用者。</w:t>
      </w:r>
    </w:p>
    <w:p w14:paraId="0105CB4E">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二、双方的权利义务</w:t>
      </w:r>
    </w:p>
    <w:p w14:paraId="37811004">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（一）受托方权利义务</w:t>
      </w:r>
    </w:p>
    <w:p w14:paraId="115B90B9">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1、受托方有权按照法律、法规和资产评估执业准则，独立、客观、公正地进行资产评估工作。</w:t>
      </w:r>
    </w:p>
    <w:p w14:paraId="6577588C">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2、受托方应按约定的评估目的、范围和评估基准日对委估资产采用恰当的评估方法和履行适当的评估程序进行评估，在约定的时间内出具资产评估报告。</w:t>
      </w:r>
    </w:p>
    <w:p w14:paraId="205C0BFA">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3、对申报评估资产进行抽查核实、实地调查，实事求是地对资产进行调查勘察。</w:t>
      </w:r>
    </w:p>
    <w:p w14:paraId="1A16834F">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4、受托方对评估对象提供的资料负有保密责任，未经评估对象书面同意，受托方不得将其提供的资料以及己方出具的评估报告内容公开或提供给第三方。</w:t>
      </w:r>
    </w:p>
    <w:p w14:paraId="4BACBFC3">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5、受托方承接本次资产评估业务的目的是对评估对象价值进行估算并发表专业意见，资产评估师对评估对象的法律权属状况应当给予必要的关注，但不对评估对象的法律权属作任何形式的保证。</w:t>
      </w:r>
    </w:p>
    <w:p w14:paraId="4E5DA14F">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（二）委托方权利义务</w:t>
      </w:r>
    </w:p>
    <w:p w14:paraId="750C38A9">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1、委托方有权在本评估目的下使用评估报告并提供给合同书中约定的其他使用者，应当在评估结论使用有效期内使用资产评估报告，由于使用者不当使用评估报告所造成的后果受托方不承担责任。</w:t>
      </w:r>
    </w:p>
    <w:p w14:paraId="76E9797D">
      <w:pPr>
        <w:spacing w:line="560" w:lineRule="exact"/>
        <w:ind w:firstLine="560" w:firstLineChars="200"/>
        <w:rPr>
          <w:rFonts w:ascii="宋体" w:hAnsi="宋体" w:eastAsia="宋体" w:cs="Times New Roman"/>
          <w:sz w:val="28"/>
          <w:szCs w:val="28"/>
        </w:rPr>
      </w:pPr>
      <w:bookmarkStart w:id="5" w:name="OLE_LINK6"/>
      <w:r>
        <w:rPr>
          <w:rFonts w:hint="eastAsia" w:ascii="宋体" w:hAnsi="宋体" w:eastAsia="宋体" w:cs="Times New Roman"/>
          <w:sz w:val="28"/>
          <w:szCs w:val="28"/>
        </w:rPr>
        <w:t>2、委托方应督促评估对象提供拟评估资产的全部资料，并要求评估对象提供的资料具有真实性、完整性和合法性。</w:t>
      </w:r>
    </w:p>
    <w:bookmarkEnd w:id="5"/>
    <w:p w14:paraId="3AC7B56B">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3、在评估人员的指导下，按评估要求填写《资产评估申报明细表》及有关资料。</w:t>
      </w:r>
    </w:p>
    <w:p w14:paraId="3DB08F1A">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4、按资产评估委托合同书规定及时足额支付评估费用。</w:t>
      </w:r>
    </w:p>
    <w:p w14:paraId="344086DB">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三、评估报告提交期限和方式</w:t>
      </w:r>
    </w:p>
    <w:p w14:paraId="4C037BF3">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双方签定资产评估委托合同后，委托方应于</w:t>
      </w:r>
      <w:r>
        <w:rPr>
          <w:rFonts w:hint="eastAsia" w:ascii="宋体" w:hAnsi="宋体" w:eastAsia="宋体" w:cs="Times New Roman"/>
          <w:sz w:val="28"/>
          <w:szCs w:val="28"/>
          <w:u w:val="single"/>
        </w:rPr>
        <w:t xml:space="preserve"> 5 </w:t>
      </w:r>
      <w:r>
        <w:rPr>
          <w:rFonts w:hint="eastAsia" w:ascii="宋体" w:hAnsi="宋体" w:eastAsia="宋体" w:cs="Times New Roman"/>
          <w:sz w:val="28"/>
          <w:szCs w:val="28"/>
        </w:rPr>
        <w:t>个工作日内督促评估对象提供评估所需的全部资料，受托方在委托方提交齐全资料后</w:t>
      </w:r>
      <w:r>
        <w:rPr>
          <w:rFonts w:hint="eastAsia" w:ascii="宋体" w:hAnsi="宋体" w:eastAsia="宋体" w:cs="Times New Roman"/>
          <w:sz w:val="28"/>
          <w:szCs w:val="28"/>
          <w:u w:val="single"/>
        </w:rPr>
        <w:t>15</w:t>
      </w:r>
      <w:r>
        <w:rPr>
          <w:rFonts w:hint="eastAsia" w:ascii="宋体" w:hAnsi="宋体" w:eastAsia="宋体" w:cs="Times New Roman"/>
          <w:sz w:val="28"/>
          <w:szCs w:val="28"/>
        </w:rPr>
        <w:t>个工作日内（法定节假日除外）出具评估报告（征求意见稿）；经委托方和受托方沟通确认后，受托方在</w:t>
      </w:r>
      <w:r>
        <w:rPr>
          <w:rFonts w:hint="eastAsia" w:ascii="宋体" w:hAnsi="宋体" w:eastAsia="宋体" w:cs="Times New Roman"/>
          <w:sz w:val="28"/>
          <w:szCs w:val="28"/>
          <w:u w:val="single"/>
        </w:rPr>
        <w:t xml:space="preserve"> 3 </w:t>
      </w:r>
      <w:r>
        <w:rPr>
          <w:rFonts w:hint="eastAsia" w:ascii="宋体" w:hAnsi="宋体" w:eastAsia="宋体" w:cs="Times New Roman"/>
          <w:sz w:val="28"/>
          <w:szCs w:val="28"/>
        </w:rPr>
        <w:t>个工作日内出具正式的评估报告，受托方向委托方出具的评估报告正本一式</w:t>
      </w:r>
      <w:r>
        <w:rPr>
          <w:rFonts w:hint="eastAsia" w:ascii="宋体" w:hAnsi="宋体" w:eastAsia="宋体" w:cs="Times New Roman"/>
          <w:sz w:val="28"/>
          <w:szCs w:val="28"/>
          <w:u w:val="single"/>
        </w:rPr>
        <w:t xml:space="preserve"> 叁 </w:t>
      </w:r>
      <w:r>
        <w:rPr>
          <w:rFonts w:hint="eastAsia" w:ascii="宋体" w:hAnsi="宋体" w:eastAsia="宋体" w:cs="Times New Roman"/>
          <w:sz w:val="28"/>
          <w:szCs w:val="28"/>
        </w:rPr>
        <w:t>份。</w:t>
      </w:r>
    </w:p>
    <w:p w14:paraId="4FA15A36">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四、评估业务合同书中止与解除</w:t>
      </w:r>
    </w:p>
    <w:p w14:paraId="79B95E98">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当评估程序受到限制，如评估对象不能提供相关的主要资料、受托方无法进入资产所在地勘察等，对与评估目的相对应的评估结论构成重大影响时，经委托方同意受托方可以暂缓出具评估报告，待限制条件解除后经委托方通知受托方应按照本合同要求继续开展工作。</w:t>
      </w:r>
    </w:p>
    <w:p w14:paraId="08C381A2">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五、评估服务费及支付方法</w:t>
      </w:r>
    </w:p>
    <w:p w14:paraId="7764768D">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1、根据2025年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日委托方发出的成交通知书，本项目评估服务费总价为人民币</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元），评估服务费由委托方支付给受托方，待受托方向委托方提交正式资产评估报告书后，并提供全额增值税专用发票（税率：小规模纳税人税率为3%，一般纳税人税率为6%）和付款申请函后</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日之内，委托方按以上约定的数额向受托方支付评估服务费。</w:t>
      </w:r>
    </w:p>
    <w:p w14:paraId="4969D2C9">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2、受托方出具正式资产评估报告且委托方在接收到正式评估报告次日起</w:t>
      </w:r>
      <w:r>
        <w:rPr>
          <w:rFonts w:hint="eastAsia" w:ascii="宋体" w:hAnsi="宋体" w:eastAsia="宋体" w:cs="Times New Roman"/>
          <w:sz w:val="28"/>
          <w:szCs w:val="28"/>
          <w:u w:val="single"/>
        </w:rPr>
        <w:t>10</w:t>
      </w:r>
      <w:r>
        <w:rPr>
          <w:rFonts w:hint="eastAsia" w:ascii="宋体" w:hAnsi="宋体" w:eastAsia="宋体" w:cs="Times New Roman"/>
          <w:sz w:val="28"/>
          <w:szCs w:val="28"/>
        </w:rPr>
        <w:t>日内无提出异议的，视为完成工作量100%，委托方需按约定支付全部评估服务费。</w:t>
      </w:r>
    </w:p>
    <w:p w14:paraId="5734BBCD">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3、双方签订的评估服务费总价属于包干费用（包括但不限于交通、住宿、就餐、税费等一切费用）。</w:t>
      </w:r>
    </w:p>
    <w:p w14:paraId="4684C8FC">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六、约定事项的变更</w:t>
      </w:r>
    </w:p>
    <w:p w14:paraId="4FBDC766">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由于出现不可抗力的情况，影响评估工作如期完成，或需提前出具评估报告，各方可要求变更约定事项，但应及时通知各方，并由各方协商解决，协商签订补充协议，补充协议与本协议具有同等的法律效力。</w:t>
      </w:r>
    </w:p>
    <w:p w14:paraId="5E6833D4">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七、违约责任</w:t>
      </w:r>
    </w:p>
    <w:p w14:paraId="0FCE1E47">
      <w:pPr>
        <w:widowControl/>
        <w:spacing w:line="560" w:lineRule="exact"/>
        <w:ind w:firstLine="560" w:firstLineChars="200"/>
        <w:jc w:val="left"/>
        <w:rPr>
          <w:rFonts w:hAnsi="宋体" w:eastAsia="宋体" w:cs="Times New Roman"/>
          <w:sz w:val="28"/>
          <w:szCs w:val="28"/>
        </w:rPr>
      </w:pPr>
      <w:r>
        <w:rPr>
          <w:rFonts w:hint="eastAsia" w:hAnsi="宋体" w:eastAsia="宋体" w:cs="Times New Roman"/>
          <w:sz w:val="28"/>
          <w:szCs w:val="28"/>
        </w:rPr>
        <w:t>1．在本委托合同执行过程中如因委托方的变更或延误，本委托合同的履行将顺延；如委托方单方终止本委托合同，委托方应支付受托方已实际履行部分的相应费用，但不得高于本项目收费总额。如因受托方原因导致本委托合同解除或终止的，受托方应向委托方支付合同总金额20%的违约金，</w:t>
      </w:r>
      <w:r>
        <w:rPr>
          <w:rFonts w:hint="eastAsia" w:ascii="宋体" w:hAnsi="宋体" w:cs="宋体"/>
          <w:kern w:val="0"/>
          <w:sz w:val="28"/>
          <w:szCs w:val="28"/>
          <w:lang w:bidi="mr-IN"/>
        </w:rPr>
        <w:t>如该违约金仍不能弥补委托方损失的，受托方还应就未被弥补部分进行赔偿。</w:t>
      </w:r>
      <w:r>
        <w:rPr>
          <w:rFonts w:hint="eastAsia" w:hAnsi="宋体" w:eastAsia="宋体" w:cs="Times New Roman"/>
          <w:sz w:val="28"/>
          <w:szCs w:val="28"/>
        </w:rPr>
        <w:t>同时受托方还应向委托方支付因诉讼所产生的费用（包括但不只限于诉讼费、受理费、律师费、保全费等）。</w:t>
      </w:r>
    </w:p>
    <w:p w14:paraId="602C7A46">
      <w:pPr>
        <w:pStyle w:val="2"/>
        <w:spacing w:line="560" w:lineRule="exact"/>
        <w:ind w:firstLine="560" w:firstLineChars="200"/>
        <w:rPr>
          <w:rFonts w:hAnsi="宋体" w:eastAsia="宋体" w:cs="Times New Roman"/>
          <w:sz w:val="28"/>
          <w:szCs w:val="28"/>
        </w:rPr>
      </w:pPr>
      <w:r>
        <w:rPr>
          <w:rFonts w:hint="eastAsia" w:hAnsi="宋体" w:eastAsia="宋体" w:cs="Times New Roman"/>
          <w:sz w:val="28"/>
          <w:szCs w:val="28"/>
        </w:rPr>
        <w:t>2．受托方如无特殊原因和正当理由（非因委托方原因），不得迟于本合同规定的时间交付评估报告书，每逾期一日未交付评估报告书应赔偿委托方应付总评估服务费的3</w:t>
      </w:r>
      <w:r>
        <w:rPr>
          <w:rFonts w:hAnsi="宋体" w:eastAsia="宋体" w:cs="Times New Roman"/>
          <w:sz w:val="28"/>
          <w:szCs w:val="28"/>
        </w:rPr>
        <w:t>‰</w:t>
      </w:r>
      <w:r>
        <w:rPr>
          <w:rFonts w:hint="eastAsia" w:hAnsi="宋体" w:eastAsia="宋体" w:cs="Times New Roman"/>
          <w:sz w:val="28"/>
          <w:szCs w:val="28"/>
        </w:rPr>
        <w:t>作为逾期违约金，逾期违约金由委托方在应付费用中直接扣除，同时委托方可以解除合同拒付任何评估费用，受托方已收服务费用应向委托方全额退回。</w:t>
      </w:r>
    </w:p>
    <w:p w14:paraId="062F7E99">
      <w:pPr>
        <w:spacing w:line="560" w:lineRule="exact"/>
        <w:ind w:firstLine="560" w:firstLineChars="200"/>
        <w:jc w:val="left"/>
        <w:rPr>
          <w:rFonts w:hAnsi="宋体" w:eastAsia="宋体" w:cs="Times New Roman"/>
          <w:sz w:val="28"/>
          <w:szCs w:val="28"/>
        </w:rPr>
      </w:pPr>
      <w:r>
        <w:rPr>
          <w:rFonts w:hint="eastAsia" w:hAnsi="宋体" w:eastAsia="宋体" w:cs="Times New Roman"/>
          <w:sz w:val="28"/>
          <w:szCs w:val="28"/>
        </w:rPr>
        <w:t>3.委托方如无特殊原因和正当理由的，不得迟于本合同规定的时间支付评估服务费，每逾期一日按应付未付金额的0.1‰计算违约金，违约金上限为总评估服务费的2%。</w:t>
      </w:r>
    </w:p>
    <w:p w14:paraId="5C8B0756">
      <w:pPr>
        <w:pStyle w:val="2"/>
        <w:spacing w:line="560" w:lineRule="exact"/>
        <w:ind w:firstLine="560" w:firstLineChars="200"/>
        <w:rPr>
          <w:rFonts w:hAnsi="宋体" w:eastAsia="宋体" w:cs="Times New Roman"/>
          <w:sz w:val="28"/>
          <w:szCs w:val="28"/>
        </w:rPr>
      </w:pPr>
      <w:r>
        <w:rPr>
          <w:rFonts w:hint="eastAsia" w:hAnsi="宋体" w:eastAsia="宋体" w:cs="Times New Roman"/>
          <w:sz w:val="28"/>
          <w:szCs w:val="28"/>
        </w:rPr>
        <w:t>4．委托方接到受托方提交的评估报告书次日起</w:t>
      </w:r>
      <w:r>
        <w:rPr>
          <w:rFonts w:hint="eastAsia" w:hAnsi="宋体" w:eastAsia="宋体" w:cs="Times New Roman"/>
          <w:sz w:val="28"/>
          <w:szCs w:val="28"/>
          <w:u w:val="single"/>
        </w:rPr>
        <w:t>10</w:t>
      </w:r>
      <w:r>
        <w:rPr>
          <w:rFonts w:hint="eastAsia" w:hAnsi="宋体" w:eastAsia="宋体" w:cs="Times New Roman"/>
          <w:sz w:val="28"/>
          <w:szCs w:val="28"/>
        </w:rPr>
        <w:t>日内，如果对评估结果有异议，且有正当理由，可向受托方提出复估或重估，委托方无需支付复估或重估的费用，受托方应在接到委托方申请复估或重估书次日起</w:t>
      </w:r>
      <w:r>
        <w:rPr>
          <w:rFonts w:hAnsi="宋体" w:eastAsia="宋体" w:cs="Times New Roman"/>
          <w:sz w:val="28"/>
          <w:szCs w:val="28"/>
        </w:rPr>
        <w:t xml:space="preserve">  </w:t>
      </w:r>
      <w:r>
        <w:rPr>
          <w:rFonts w:hAnsi="宋体" w:eastAsia="宋体" w:cs="Times New Roman"/>
          <w:sz w:val="28"/>
          <w:szCs w:val="28"/>
          <w:u w:val="single"/>
        </w:rPr>
        <w:t xml:space="preserve">10 </w:t>
      </w:r>
      <w:r>
        <w:rPr>
          <w:rFonts w:hint="eastAsia" w:hAnsi="宋体" w:eastAsia="宋体" w:cs="Times New Roman"/>
          <w:sz w:val="28"/>
          <w:szCs w:val="28"/>
        </w:rPr>
        <w:t>日内完成委托评估对象的复估或重估报告书交付委托方。委托方逾期不提出异议的，评估报告书生效。受托方逾期提交的视为逾期，委托方可以解除合同并拒付任何评估费用，受托方已收服务费用应向委托方全额退回。</w:t>
      </w:r>
    </w:p>
    <w:p w14:paraId="4FA6204F">
      <w:pPr>
        <w:pStyle w:val="2"/>
        <w:spacing w:line="560" w:lineRule="exact"/>
        <w:ind w:firstLine="560" w:firstLineChars="200"/>
        <w:rPr>
          <w:rFonts w:hAnsi="宋体" w:eastAsia="宋体" w:cs="Times New Roman"/>
          <w:sz w:val="28"/>
          <w:szCs w:val="28"/>
        </w:rPr>
      </w:pPr>
      <w:r>
        <w:rPr>
          <w:rFonts w:hint="eastAsia" w:hAnsi="宋体" w:eastAsia="宋体" w:cs="Times New Roman"/>
          <w:sz w:val="28"/>
          <w:szCs w:val="28"/>
        </w:rPr>
        <w:t>5．如受托方出具的评估报告或评估结果有误、不完整或者与实际不符，导致委托方工作无法正常开展或给委托方带来损失的，受托方应向委托方支付总评估服务费20%的违约金并退回全部已收服务费，如该违约金仍不能弥补委托方损失的，受托方还应就未被弥补部分进行赔偿。</w:t>
      </w:r>
    </w:p>
    <w:p w14:paraId="1F297068">
      <w:pPr>
        <w:spacing w:line="560" w:lineRule="exact"/>
        <w:ind w:firstLine="560" w:firstLineChars="200"/>
        <w:rPr>
          <w:rFonts w:ascii="宋体" w:hAnsi="宋体" w:eastAsia="宋体" w:cs="Times New Roman"/>
          <w:sz w:val="28"/>
          <w:szCs w:val="28"/>
        </w:rPr>
      </w:pPr>
      <w:bookmarkStart w:id="6" w:name="OLE_LINK9"/>
      <w:bookmarkStart w:id="7" w:name="OLE_LINK10"/>
      <w:r>
        <w:rPr>
          <w:rFonts w:hint="eastAsia" w:ascii="宋体" w:hAnsi="宋体" w:eastAsia="宋体" w:cs="Times New Roman"/>
          <w:sz w:val="28"/>
          <w:szCs w:val="28"/>
        </w:rPr>
        <w:t>6.受托方如无特殊原因和正当理由，不得迟于本合同规定的时间交付评估报告书；</w:t>
      </w:r>
      <w:bookmarkStart w:id="8" w:name="OLE_LINK7"/>
      <w:bookmarkStart w:id="9" w:name="OLE_LINK8"/>
      <w:r>
        <w:rPr>
          <w:rFonts w:hint="eastAsia" w:ascii="宋体" w:hAnsi="宋体" w:eastAsia="宋体" w:cs="Times New Roman"/>
          <w:sz w:val="28"/>
          <w:szCs w:val="28"/>
        </w:rPr>
        <w:t>如因评估对象不按规定时间提供前述有关评估材料的，受托方可按延误时间顺延评估报告书的交付时间。</w:t>
      </w:r>
      <w:bookmarkEnd w:id="8"/>
      <w:bookmarkEnd w:id="9"/>
      <w:r>
        <w:rPr>
          <w:rFonts w:hint="eastAsia" w:ascii="宋体" w:hAnsi="宋体" w:eastAsia="宋体" w:cs="Times New Roman"/>
          <w:sz w:val="28"/>
          <w:szCs w:val="28"/>
        </w:rPr>
        <w:t>如受托方未按照合同要求按时向委托方提供合格的服务结果的（非受托方过错除外），委托方有权拒绝向受托方付款，已支付款项委托方有权要求受托方全部退回。</w:t>
      </w:r>
    </w:p>
    <w:bookmarkEnd w:id="6"/>
    <w:bookmarkEnd w:id="7"/>
    <w:p w14:paraId="2EBD26DF">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八、合同争议解决</w:t>
      </w:r>
    </w:p>
    <w:p w14:paraId="0D147C0F">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1、若双方就本合同约定条款发生争议，可通过协商解决；协商不成的，任何一方可向委托方所在地人民法院提起诉讼。</w:t>
      </w:r>
    </w:p>
    <w:p w14:paraId="0DF8716A">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2、在履行本合同过程中，任何一方若违约而产生的诉讼案，诉讼所产生的费用（包括但不只限于诉讼费、受理费、律师费、保全费等）由违约方承担。</w:t>
      </w:r>
    </w:p>
    <w:p w14:paraId="17861C98">
      <w:pPr>
        <w:spacing w:line="56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九、其他事项</w:t>
      </w:r>
    </w:p>
    <w:p w14:paraId="21804D8A">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1、本合同自双方签字盖章之日起生效，合同如有未尽事宜，经双方共同协商达成补充协议，作为本合同的重要组成部分，与本合同具有同等的法律效力。</w:t>
      </w:r>
    </w:p>
    <w:p w14:paraId="5FC62A20">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2、本合同一式肆份，双方各持两份，具有同等法律效力。</w:t>
      </w:r>
    </w:p>
    <w:p w14:paraId="34E57AB1">
      <w:pPr>
        <w:spacing w:line="560" w:lineRule="exact"/>
        <w:rPr>
          <w:rFonts w:hint="eastAsia" w:ascii="宋体" w:hAnsi="宋体" w:eastAsia="宋体" w:cs="Times New Roman"/>
          <w:sz w:val="28"/>
          <w:szCs w:val="28"/>
        </w:rPr>
      </w:pPr>
    </w:p>
    <w:p w14:paraId="3E9812E9">
      <w:pPr>
        <w:spacing w:line="560" w:lineRule="exact"/>
        <w:rPr>
          <w:rFonts w:hint="eastAsia" w:ascii="宋体" w:hAnsi="宋体" w:eastAsia="宋体" w:cs="Times New Roman"/>
          <w:sz w:val="28"/>
          <w:szCs w:val="28"/>
        </w:rPr>
      </w:pPr>
    </w:p>
    <w:p w14:paraId="3CDBBA41">
      <w:pPr>
        <w:spacing w:line="560" w:lineRule="exact"/>
        <w:rPr>
          <w:rFonts w:ascii="宋体" w:hAnsi="宋体" w:eastAsia="宋体" w:cs="Times New Roman"/>
          <w:sz w:val="28"/>
          <w:szCs w:val="28"/>
        </w:rPr>
      </w:pPr>
      <w:r>
        <w:rPr>
          <w:rFonts w:hint="eastAsia" w:ascii="宋体" w:hAnsi="宋体" w:eastAsia="宋体" w:cs="Times New Roman"/>
          <w:sz w:val="28"/>
          <w:szCs w:val="28"/>
        </w:rPr>
        <w:t>合同附件：</w:t>
      </w:r>
    </w:p>
    <w:p w14:paraId="2CC00761">
      <w:pPr>
        <w:spacing w:line="560" w:lineRule="exact"/>
        <w:ind w:firstLine="420" w:firstLineChars="150"/>
        <w:rPr>
          <w:rFonts w:ascii="宋体" w:hAnsi="宋体" w:eastAsia="宋体" w:cs="Times New Roman"/>
          <w:sz w:val="28"/>
          <w:szCs w:val="28"/>
        </w:rPr>
      </w:pPr>
      <w:r>
        <w:rPr>
          <w:rFonts w:hint="eastAsia" w:ascii="宋体" w:hAnsi="宋体" w:eastAsia="宋体" w:cs="Times New Roman"/>
          <w:sz w:val="28"/>
          <w:szCs w:val="28"/>
        </w:rPr>
        <w:t xml:space="preserve"> 1、新发公司资产评估申报明细表</w:t>
      </w:r>
    </w:p>
    <w:p w14:paraId="0802D7FE">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     </w:t>
      </w:r>
    </w:p>
    <w:tbl>
      <w:tblPr>
        <w:tblStyle w:val="9"/>
        <w:tblpPr w:leftFromText="180" w:rightFromText="180" w:vertAnchor="text" w:horzAnchor="page" w:tblpX="1438" w:tblpY="761"/>
        <w:tblOverlap w:val="never"/>
        <w:tblW w:w="9004" w:type="dxa"/>
        <w:tblInd w:w="0" w:type="dxa"/>
        <w:tblLayout w:type="fixed"/>
        <w:tblCellMar>
          <w:top w:w="0" w:type="dxa"/>
          <w:left w:w="108" w:type="dxa"/>
          <w:bottom w:w="0" w:type="dxa"/>
          <w:right w:w="108" w:type="dxa"/>
        </w:tblCellMar>
      </w:tblPr>
      <w:tblGrid>
        <w:gridCol w:w="5113"/>
        <w:gridCol w:w="3891"/>
      </w:tblGrid>
      <w:tr w14:paraId="7EDF2ECF">
        <w:tblPrEx>
          <w:tblCellMar>
            <w:top w:w="0" w:type="dxa"/>
            <w:left w:w="108" w:type="dxa"/>
            <w:bottom w:w="0" w:type="dxa"/>
            <w:right w:w="108" w:type="dxa"/>
          </w:tblCellMar>
        </w:tblPrEx>
        <w:trPr>
          <w:trHeight w:val="874" w:hRule="atLeast"/>
        </w:trPr>
        <w:tc>
          <w:tcPr>
            <w:tcW w:w="5113" w:type="dxa"/>
            <w:noWrap/>
            <w:vAlign w:val="center"/>
          </w:tcPr>
          <w:p w14:paraId="53E28658">
            <w:pPr>
              <w:spacing w:line="600" w:lineRule="exact"/>
              <w:rPr>
                <w:sz w:val="24"/>
              </w:rPr>
            </w:pPr>
            <w:r>
              <w:rPr>
                <w:rFonts w:hint="eastAsia"/>
                <w:sz w:val="24"/>
              </w:rPr>
              <w:t>委托方(盖章)：</w:t>
            </w:r>
            <w:r>
              <w:rPr>
                <w:rFonts w:hint="eastAsia" w:ascii="宋体" w:hAnsi="宋体" w:eastAsia="宋体" w:cs="Times New Roman"/>
                <w:sz w:val="28"/>
                <w:szCs w:val="28"/>
              </w:rPr>
              <w:t>广西金益商贸物流有限公司</w:t>
            </w:r>
          </w:p>
        </w:tc>
        <w:tc>
          <w:tcPr>
            <w:tcW w:w="3891" w:type="dxa"/>
            <w:noWrap/>
            <w:vAlign w:val="center"/>
          </w:tcPr>
          <w:p w14:paraId="45426140">
            <w:pPr>
              <w:spacing w:line="600" w:lineRule="exact"/>
              <w:rPr>
                <w:sz w:val="24"/>
              </w:rPr>
            </w:pPr>
            <w:r>
              <w:rPr>
                <w:rFonts w:hint="eastAsia"/>
                <w:sz w:val="24"/>
              </w:rPr>
              <w:t>受托方(盖章)：</w:t>
            </w:r>
          </w:p>
        </w:tc>
      </w:tr>
      <w:tr w14:paraId="5815A255">
        <w:tblPrEx>
          <w:tblCellMar>
            <w:top w:w="0" w:type="dxa"/>
            <w:left w:w="108" w:type="dxa"/>
            <w:bottom w:w="0" w:type="dxa"/>
            <w:right w:w="108" w:type="dxa"/>
          </w:tblCellMar>
        </w:tblPrEx>
        <w:trPr>
          <w:trHeight w:val="1149" w:hRule="atLeast"/>
        </w:trPr>
        <w:tc>
          <w:tcPr>
            <w:tcW w:w="5113" w:type="dxa"/>
            <w:noWrap/>
            <w:vAlign w:val="center"/>
          </w:tcPr>
          <w:p w14:paraId="5E97AE19">
            <w:pPr>
              <w:spacing w:line="600" w:lineRule="exact"/>
              <w:rPr>
                <w:sz w:val="24"/>
              </w:rPr>
            </w:pPr>
            <w:r>
              <w:rPr>
                <w:rFonts w:hint="eastAsia"/>
                <w:sz w:val="24"/>
              </w:rPr>
              <w:t>法定代表人或</w:t>
            </w:r>
          </w:p>
          <w:p w14:paraId="6C2CA5D3">
            <w:pPr>
              <w:spacing w:line="600" w:lineRule="exact"/>
              <w:rPr>
                <w:sz w:val="24"/>
              </w:rPr>
            </w:pPr>
            <w:r>
              <w:rPr>
                <w:rFonts w:hint="eastAsia"/>
                <w:sz w:val="24"/>
              </w:rPr>
              <w:t>授权代理人(签字或盖章)：</w:t>
            </w:r>
          </w:p>
        </w:tc>
        <w:tc>
          <w:tcPr>
            <w:tcW w:w="3891" w:type="dxa"/>
            <w:noWrap/>
            <w:vAlign w:val="center"/>
          </w:tcPr>
          <w:p w14:paraId="6A8BCCA5">
            <w:pPr>
              <w:spacing w:line="600" w:lineRule="exact"/>
              <w:rPr>
                <w:sz w:val="24"/>
              </w:rPr>
            </w:pPr>
            <w:r>
              <w:rPr>
                <w:rFonts w:hint="eastAsia"/>
                <w:sz w:val="24"/>
              </w:rPr>
              <w:t>法定代表人或</w:t>
            </w:r>
          </w:p>
          <w:p w14:paraId="538927B2">
            <w:pPr>
              <w:spacing w:line="600" w:lineRule="exact"/>
              <w:rPr>
                <w:sz w:val="24"/>
              </w:rPr>
            </w:pPr>
            <w:r>
              <w:rPr>
                <w:rFonts w:hint="eastAsia"/>
                <w:sz w:val="24"/>
              </w:rPr>
              <w:t>授权代理人(签字或盖章)：</w:t>
            </w:r>
          </w:p>
        </w:tc>
      </w:tr>
      <w:tr w14:paraId="49448DFF">
        <w:tblPrEx>
          <w:tblCellMar>
            <w:top w:w="0" w:type="dxa"/>
            <w:left w:w="108" w:type="dxa"/>
            <w:bottom w:w="0" w:type="dxa"/>
            <w:right w:w="108" w:type="dxa"/>
          </w:tblCellMar>
        </w:tblPrEx>
        <w:trPr>
          <w:trHeight w:val="480" w:hRule="atLeast"/>
        </w:trPr>
        <w:tc>
          <w:tcPr>
            <w:tcW w:w="5113" w:type="dxa"/>
            <w:noWrap/>
            <w:vAlign w:val="center"/>
          </w:tcPr>
          <w:p w14:paraId="058142A1">
            <w:pPr>
              <w:spacing w:line="600" w:lineRule="exact"/>
              <w:rPr>
                <w:sz w:val="24"/>
              </w:rPr>
            </w:pPr>
            <w:r>
              <w:rPr>
                <w:rFonts w:hint="eastAsia"/>
                <w:sz w:val="24"/>
              </w:rPr>
              <w:t>经 办 人：</w:t>
            </w:r>
          </w:p>
        </w:tc>
        <w:tc>
          <w:tcPr>
            <w:tcW w:w="3891" w:type="dxa"/>
            <w:noWrap/>
            <w:vAlign w:val="center"/>
          </w:tcPr>
          <w:p w14:paraId="316410C7">
            <w:pPr>
              <w:spacing w:line="600" w:lineRule="exact"/>
              <w:rPr>
                <w:sz w:val="24"/>
              </w:rPr>
            </w:pPr>
            <w:r>
              <w:rPr>
                <w:rFonts w:hint="eastAsia"/>
                <w:sz w:val="24"/>
              </w:rPr>
              <w:t>联 系 人：</w:t>
            </w:r>
          </w:p>
        </w:tc>
      </w:tr>
      <w:tr w14:paraId="1C4A50FC">
        <w:tblPrEx>
          <w:tblCellMar>
            <w:top w:w="0" w:type="dxa"/>
            <w:left w:w="108" w:type="dxa"/>
            <w:bottom w:w="0" w:type="dxa"/>
            <w:right w:w="108" w:type="dxa"/>
          </w:tblCellMar>
        </w:tblPrEx>
        <w:trPr>
          <w:trHeight w:val="590" w:hRule="atLeast"/>
        </w:trPr>
        <w:tc>
          <w:tcPr>
            <w:tcW w:w="5113" w:type="dxa"/>
            <w:noWrap/>
            <w:vAlign w:val="center"/>
          </w:tcPr>
          <w:p w14:paraId="669FF45D">
            <w:pPr>
              <w:spacing w:line="600" w:lineRule="exact"/>
              <w:rPr>
                <w:sz w:val="24"/>
              </w:rPr>
            </w:pPr>
            <w:r>
              <w:rPr>
                <w:rFonts w:hint="eastAsia"/>
                <w:sz w:val="24"/>
              </w:rPr>
              <w:t>电    话：</w:t>
            </w:r>
          </w:p>
        </w:tc>
        <w:tc>
          <w:tcPr>
            <w:tcW w:w="3891" w:type="dxa"/>
            <w:noWrap/>
            <w:vAlign w:val="center"/>
          </w:tcPr>
          <w:p w14:paraId="7C2337D6">
            <w:pPr>
              <w:spacing w:line="600" w:lineRule="exact"/>
              <w:rPr>
                <w:sz w:val="24"/>
              </w:rPr>
            </w:pPr>
            <w:r>
              <w:rPr>
                <w:rFonts w:hint="eastAsia"/>
                <w:sz w:val="24"/>
              </w:rPr>
              <w:t>电    话：</w:t>
            </w:r>
          </w:p>
        </w:tc>
      </w:tr>
      <w:tr w14:paraId="6ED1556F">
        <w:tblPrEx>
          <w:tblCellMar>
            <w:top w:w="0" w:type="dxa"/>
            <w:left w:w="108" w:type="dxa"/>
            <w:bottom w:w="0" w:type="dxa"/>
            <w:right w:w="108" w:type="dxa"/>
          </w:tblCellMar>
        </w:tblPrEx>
        <w:trPr>
          <w:trHeight w:val="590" w:hRule="atLeast"/>
        </w:trPr>
        <w:tc>
          <w:tcPr>
            <w:tcW w:w="5113" w:type="dxa"/>
            <w:noWrap/>
            <w:vAlign w:val="center"/>
          </w:tcPr>
          <w:p w14:paraId="4240E84A">
            <w:pPr>
              <w:spacing w:line="600" w:lineRule="exact"/>
              <w:rPr>
                <w:sz w:val="24"/>
              </w:rPr>
            </w:pPr>
            <w:r>
              <w:rPr>
                <w:rFonts w:hint="eastAsia"/>
                <w:sz w:val="24"/>
              </w:rPr>
              <w:t>地    址：</w:t>
            </w:r>
            <w:r>
              <w:rPr>
                <w:rFonts w:hint="eastAsia" w:ascii="Times New Roman" w:hAnsi="Times New Roman" w:cs="Times New Roman"/>
                <w:kern w:val="0"/>
                <w:sz w:val="24"/>
              </w:rPr>
              <w:t xml:space="preserve">河池市金城江区金碧路25号 </w:t>
            </w:r>
            <w:r>
              <w:rPr>
                <w:rFonts w:ascii="Times New Roman" w:hAnsi="Times New Roman" w:cs="Times New Roman"/>
                <w:kern w:val="0"/>
                <w:sz w:val="24"/>
              </w:rPr>
              <w:t xml:space="preserve"> </w:t>
            </w:r>
            <w:r>
              <w:rPr>
                <w:rFonts w:hint="eastAsia"/>
                <w:sz w:val="24"/>
              </w:rPr>
              <w:t xml:space="preserve"> </w:t>
            </w:r>
          </w:p>
        </w:tc>
        <w:tc>
          <w:tcPr>
            <w:tcW w:w="3891" w:type="dxa"/>
            <w:noWrap/>
            <w:vAlign w:val="center"/>
          </w:tcPr>
          <w:p w14:paraId="3487AC88">
            <w:pPr>
              <w:spacing w:line="600" w:lineRule="exact"/>
              <w:rPr>
                <w:sz w:val="24"/>
              </w:rPr>
            </w:pPr>
            <w:r>
              <w:rPr>
                <w:rFonts w:hint="eastAsia"/>
                <w:sz w:val="24"/>
              </w:rPr>
              <w:t>地    址：</w:t>
            </w:r>
          </w:p>
        </w:tc>
      </w:tr>
      <w:tr w14:paraId="13C8412F">
        <w:tblPrEx>
          <w:tblCellMar>
            <w:top w:w="0" w:type="dxa"/>
            <w:left w:w="108" w:type="dxa"/>
            <w:bottom w:w="0" w:type="dxa"/>
            <w:right w:w="108" w:type="dxa"/>
          </w:tblCellMar>
        </w:tblPrEx>
        <w:trPr>
          <w:trHeight w:val="435" w:hRule="atLeast"/>
        </w:trPr>
        <w:tc>
          <w:tcPr>
            <w:tcW w:w="5113" w:type="dxa"/>
            <w:noWrap/>
            <w:vAlign w:val="center"/>
          </w:tcPr>
          <w:p w14:paraId="420E16A9">
            <w:pPr>
              <w:spacing w:line="600" w:lineRule="exact"/>
              <w:rPr>
                <w:sz w:val="24"/>
              </w:rPr>
            </w:pPr>
            <w:r>
              <w:rPr>
                <w:rFonts w:hint="eastAsia"/>
                <w:sz w:val="24"/>
              </w:rPr>
              <w:t xml:space="preserve">电子邮箱： </w:t>
            </w:r>
          </w:p>
        </w:tc>
        <w:tc>
          <w:tcPr>
            <w:tcW w:w="3891" w:type="dxa"/>
            <w:noWrap/>
            <w:vAlign w:val="center"/>
          </w:tcPr>
          <w:p w14:paraId="08454D46">
            <w:pPr>
              <w:spacing w:line="600" w:lineRule="exact"/>
              <w:rPr>
                <w:sz w:val="24"/>
              </w:rPr>
            </w:pPr>
            <w:r>
              <w:rPr>
                <w:rFonts w:hint="eastAsia"/>
                <w:sz w:val="24"/>
              </w:rPr>
              <w:t>电子邮箱：</w:t>
            </w:r>
          </w:p>
        </w:tc>
      </w:tr>
      <w:tr w14:paraId="3E4845D6">
        <w:tblPrEx>
          <w:tblCellMar>
            <w:top w:w="0" w:type="dxa"/>
            <w:left w:w="108" w:type="dxa"/>
            <w:bottom w:w="0" w:type="dxa"/>
            <w:right w:w="108" w:type="dxa"/>
          </w:tblCellMar>
        </w:tblPrEx>
        <w:trPr>
          <w:trHeight w:val="590" w:hRule="atLeast"/>
        </w:trPr>
        <w:tc>
          <w:tcPr>
            <w:tcW w:w="5113" w:type="dxa"/>
            <w:noWrap/>
            <w:vAlign w:val="center"/>
          </w:tcPr>
          <w:p w14:paraId="15DBDEA0">
            <w:pPr>
              <w:spacing w:line="600" w:lineRule="exact"/>
              <w:rPr>
                <w:sz w:val="24"/>
              </w:rPr>
            </w:pPr>
            <w:r>
              <w:rPr>
                <w:rFonts w:hint="eastAsia"/>
                <w:sz w:val="24"/>
              </w:rPr>
              <w:t>开户名称：</w:t>
            </w:r>
          </w:p>
        </w:tc>
        <w:tc>
          <w:tcPr>
            <w:tcW w:w="3891" w:type="dxa"/>
            <w:noWrap/>
            <w:vAlign w:val="center"/>
          </w:tcPr>
          <w:p w14:paraId="026B8A8F">
            <w:pPr>
              <w:spacing w:line="600" w:lineRule="exact"/>
              <w:rPr>
                <w:sz w:val="24"/>
              </w:rPr>
            </w:pPr>
            <w:r>
              <w:rPr>
                <w:rFonts w:hint="eastAsia"/>
                <w:sz w:val="24"/>
              </w:rPr>
              <w:t>开户名称：</w:t>
            </w:r>
          </w:p>
        </w:tc>
      </w:tr>
      <w:tr w14:paraId="662218FC">
        <w:tblPrEx>
          <w:tblCellMar>
            <w:top w:w="0" w:type="dxa"/>
            <w:left w:w="108" w:type="dxa"/>
            <w:bottom w:w="0" w:type="dxa"/>
            <w:right w:w="108" w:type="dxa"/>
          </w:tblCellMar>
        </w:tblPrEx>
        <w:trPr>
          <w:trHeight w:val="590" w:hRule="atLeast"/>
        </w:trPr>
        <w:tc>
          <w:tcPr>
            <w:tcW w:w="5113" w:type="dxa"/>
            <w:noWrap/>
            <w:vAlign w:val="center"/>
          </w:tcPr>
          <w:p w14:paraId="30826F0F">
            <w:pPr>
              <w:spacing w:line="600" w:lineRule="exact"/>
              <w:rPr>
                <w:sz w:val="24"/>
              </w:rPr>
            </w:pPr>
            <w:r>
              <w:rPr>
                <w:rFonts w:hint="eastAsia"/>
                <w:sz w:val="24"/>
              </w:rPr>
              <w:t>开户银行：</w:t>
            </w:r>
          </w:p>
        </w:tc>
        <w:tc>
          <w:tcPr>
            <w:tcW w:w="3891" w:type="dxa"/>
            <w:noWrap/>
            <w:vAlign w:val="center"/>
          </w:tcPr>
          <w:p w14:paraId="05D429AB">
            <w:pPr>
              <w:spacing w:line="600" w:lineRule="exact"/>
              <w:rPr>
                <w:sz w:val="24"/>
              </w:rPr>
            </w:pPr>
            <w:r>
              <w:rPr>
                <w:rFonts w:hint="eastAsia"/>
                <w:sz w:val="24"/>
              </w:rPr>
              <w:t>开户银行：</w:t>
            </w:r>
          </w:p>
        </w:tc>
      </w:tr>
      <w:tr w14:paraId="0AA92C62">
        <w:tblPrEx>
          <w:tblCellMar>
            <w:top w:w="0" w:type="dxa"/>
            <w:left w:w="108" w:type="dxa"/>
            <w:bottom w:w="0" w:type="dxa"/>
            <w:right w:w="108" w:type="dxa"/>
          </w:tblCellMar>
        </w:tblPrEx>
        <w:trPr>
          <w:trHeight w:val="590" w:hRule="atLeast"/>
        </w:trPr>
        <w:tc>
          <w:tcPr>
            <w:tcW w:w="5113" w:type="dxa"/>
            <w:noWrap/>
            <w:vAlign w:val="center"/>
          </w:tcPr>
          <w:p w14:paraId="4CE4229C">
            <w:pPr>
              <w:spacing w:line="600" w:lineRule="exact"/>
              <w:rPr>
                <w:sz w:val="24"/>
              </w:rPr>
            </w:pPr>
            <w:r>
              <w:rPr>
                <w:rFonts w:hint="eastAsia"/>
                <w:sz w:val="24"/>
              </w:rPr>
              <w:t>账    号：</w:t>
            </w:r>
          </w:p>
        </w:tc>
        <w:tc>
          <w:tcPr>
            <w:tcW w:w="3891" w:type="dxa"/>
            <w:noWrap/>
            <w:vAlign w:val="center"/>
          </w:tcPr>
          <w:p w14:paraId="5A521756">
            <w:pPr>
              <w:spacing w:line="600" w:lineRule="exact"/>
              <w:rPr>
                <w:sz w:val="24"/>
              </w:rPr>
            </w:pPr>
            <w:r>
              <w:rPr>
                <w:rFonts w:hint="eastAsia"/>
                <w:sz w:val="24"/>
              </w:rPr>
              <w:t>账    号：</w:t>
            </w:r>
          </w:p>
        </w:tc>
      </w:tr>
      <w:tr w14:paraId="7C81D652">
        <w:tblPrEx>
          <w:tblCellMar>
            <w:top w:w="0" w:type="dxa"/>
            <w:left w:w="108" w:type="dxa"/>
            <w:bottom w:w="0" w:type="dxa"/>
            <w:right w:w="108" w:type="dxa"/>
          </w:tblCellMar>
        </w:tblPrEx>
        <w:trPr>
          <w:trHeight w:val="590" w:hRule="atLeast"/>
        </w:trPr>
        <w:tc>
          <w:tcPr>
            <w:tcW w:w="5113" w:type="dxa"/>
            <w:noWrap/>
            <w:vAlign w:val="center"/>
          </w:tcPr>
          <w:p w14:paraId="3EEC89F2">
            <w:pPr>
              <w:spacing w:line="600" w:lineRule="exact"/>
              <w:rPr>
                <w:sz w:val="24"/>
              </w:rPr>
            </w:pPr>
            <w:r>
              <w:rPr>
                <w:rFonts w:hint="eastAsia"/>
                <w:sz w:val="24"/>
              </w:rPr>
              <w:t>社会信用代码：</w:t>
            </w:r>
          </w:p>
        </w:tc>
        <w:tc>
          <w:tcPr>
            <w:tcW w:w="3891" w:type="dxa"/>
            <w:noWrap/>
            <w:vAlign w:val="center"/>
          </w:tcPr>
          <w:p w14:paraId="5DA8E60A">
            <w:pPr>
              <w:spacing w:line="600" w:lineRule="exact"/>
              <w:rPr>
                <w:sz w:val="24"/>
              </w:rPr>
            </w:pPr>
            <w:r>
              <w:rPr>
                <w:rFonts w:hint="eastAsia"/>
                <w:sz w:val="24"/>
              </w:rPr>
              <w:t>社会信用代码：</w:t>
            </w:r>
          </w:p>
        </w:tc>
      </w:tr>
    </w:tbl>
    <w:p w14:paraId="55C5AD1C">
      <w:pPr>
        <w:spacing w:line="600" w:lineRule="exact"/>
        <w:ind w:firstLine="560" w:firstLineChars="200"/>
        <w:rPr>
          <w:rFonts w:ascii="宋体" w:hAnsi="宋体" w:eastAsia="宋体" w:cs="Times New Roman"/>
          <w:sz w:val="28"/>
          <w:szCs w:val="28"/>
        </w:rPr>
      </w:pPr>
    </w:p>
    <w:p w14:paraId="1A376EF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Times New Roman"/>
          <w:color w:val="auto"/>
          <w:kern w:val="2"/>
          <w:sz w:val="28"/>
          <w:szCs w:val="28"/>
          <w:lang w:val="en-US" w:eastAsia="zh-CN" w:bidi="ar-SA"/>
        </w:rPr>
      </w:pPr>
    </w:p>
    <w:sectPr>
      <w:headerReference r:id="rId3" w:type="default"/>
      <w:footerReference r:id="rId4" w:type="default"/>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AA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33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2A33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945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30BC3826"/>
    <w:rsid w:val="024F44B3"/>
    <w:rsid w:val="03AD3E66"/>
    <w:rsid w:val="04697CC2"/>
    <w:rsid w:val="06F41C84"/>
    <w:rsid w:val="098A7CDE"/>
    <w:rsid w:val="0BC46F31"/>
    <w:rsid w:val="0C643807"/>
    <w:rsid w:val="119D71F9"/>
    <w:rsid w:val="11F748B7"/>
    <w:rsid w:val="12107727"/>
    <w:rsid w:val="125C2C63"/>
    <w:rsid w:val="139E3270"/>
    <w:rsid w:val="1C8966E6"/>
    <w:rsid w:val="1E562965"/>
    <w:rsid w:val="20743577"/>
    <w:rsid w:val="216D6BAB"/>
    <w:rsid w:val="22105521"/>
    <w:rsid w:val="238E4EA7"/>
    <w:rsid w:val="24F16E09"/>
    <w:rsid w:val="25037922"/>
    <w:rsid w:val="25EB7E37"/>
    <w:rsid w:val="293C4856"/>
    <w:rsid w:val="2B2362C5"/>
    <w:rsid w:val="2BA44E76"/>
    <w:rsid w:val="2BD55282"/>
    <w:rsid w:val="2E5B2057"/>
    <w:rsid w:val="2EDE0482"/>
    <w:rsid w:val="30334530"/>
    <w:rsid w:val="30BC3826"/>
    <w:rsid w:val="32E77BD8"/>
    <w:rsid w:val="345F6138"/>
    <w:rsid w:val="352B46F4"/>
    <w:rsid w:val="368E3741"/>
    <w:rsid w:val="375141F8"/>
    <w:rsid w:val="397367C5"/>
    <w:rsid w:val="3C177780"/>
    <w:rsid w:val="3D632551"/>
    <w:rsid w:val="3F4166B3"/>
    <w:rsid w:val="439E16EA"/>
    <w:rsid w:val="4571704B"/>
    <w:rsid w:val="45EF2E24"/>
    <w:rsid w:val="48021F9D"/>
    <w:rsid w:val="4DDE5823"/>
    <w:rsid w:val="4F6C44E9"/>
    <w:rsid w:val="503F31DC"/>
    <w:rsid w:val="50F32112"/>
    <w:rsid w:val="52A64F62"/>
    <w:rsid w:val="52D94539"/>
    <w:rsid w:val="53A8239A"/>
    <w:rsid w:val="55747599"/>
    <w:rsid w:val="57837B9E"/>
    <w:rsid w:val="588D597B"/>
    <w:rsid w:val="59080725"/>
    <w:rsid w:val="5DFB0858"/>
    <w:rsid w:val="5E9A0BB5"/>
    <w:rsid w:val="619B2A57"/>
    <w:rsid w:val="66753D68"/>
    <w:rsid w:val="69FC4993"/>
    <w:rsid w:val="6E1378E8"/>
    <w:rsid w:val="6F51652A"/>
    <w:rsid w:val="7270316B"/>
    <w:rsid w:val="76B73C11"/>
    <w:rsid w:val="76EF51D2"/>
    <w:rsid w:val="7BE97938"/>
    <w:rsid w:val="7C4510FD"/>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3">
    <w:name w:val="Body Text"/>
    <w:basedOn w:val="1"/>
    <w:next w:val="4"/>
    <w:autoRedefine/>
    <w:qFormat/>
    <w:uiPriority w:val="99"/>
    <w:pPr>
      <w:jc w:val="center"/>
    </w:pPr>
    <w:rPr>
      <w:sz w:val="52"/>
    </w:rPr>
  </w:style>
  <w:style w:type="paragraph" w:styleId="4">
    <w:name w:val="toc 5"/>
    <w:basedOn w:val="1"/>
    <w:next w:val="1"/>
    <w:autoRedefine/>
    <w:qFormat/>
    <w:uiPriority w:val="39"/>
    <w:pPr>
      <w:ind w:left="840"/>
      <w:jc w:val="left"/>
    </w:pPr>
    <w:rPr>
      <w:sz w:val="18"/>
      <w:szCs w:val="18"/>
    </w:rPr>
  </w:style>
  <w:style w:type="paragraph" w:styleId="5">
    <w:name w:val="Body Text Indent"/>
    <w:basedOn w:val="1"/>
    <w:autoRedefine/>
    <w:unhideWhenUsed/>
    <w:qFormat/>
    <w:uiPriority w:val="0"/>
    <w:pPr>
      <w:ind w:firstLine="640" w:firstLineChars="200"/>
    </w:pPr>
    <w:rPr>
      <w:kern w:val="0"/>
      <w:sz w:val="32"/>
    </w:rPr>
  </w:style>
  <w:style w:type="paragraph" w:styleId="6">
    <w:name w:val="Plain Text"/>
    <w:basedOn w:val="1"/>
    <w:autoRedefine/>
    <w:qFormat/>
    <w:uiPriority w:val="0"/>
    <w:rPr>
      <w:rFonts w:ascii="宋体" w:hAnsi="Courier New"/>
      <w:szCs w:val="20"/>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character" w:styleId="11">
    <w:name w:val="page number"/>
    <w:basedOn w:val="10"/>
    <w:autoRedefine/>
    <w:qFormat/>
    <w:uiPriority w:val="0"/>
  </w:style>
  <w:style w:type="paragraph" w:customStyle="1" w:styleId="12">
    <w:name w:val="引言二级条标题"/>
    <w:basedOn w:val="13"/>
    <w:next w:val="14"/>
    <w:qFormat/>
    <w:uiPriority w:val="0"/>
    <w:pPr>
      <w:ind w:left="0" w:firstLine="0"/>
    </w:pPr>
    <w:rPr>
      <w:rFonts w:eastAsia="宋体"/>
    </w:rPr>
  </w:style>
  <w:style w:type="paragraph" w:customStyle="1" w:styleId="13">
    <w:name w:val="引言一级条标题"/>
    <w:basedOn w:val="1"/>
    <w:next w:val="14"/>
    <w:autoRedefine/>
    <w:qFormat/>
    <w:uiPriority w:val="0"/>
    <w:pPr>
      <w:widowControl/>
      <w:spacing w:beforeAutospacing="1" w:afterAutospacing="1"/>
      <w:ind w:left="900" w:hanging="900"/>
    </w:pPr>
    <w:rPr>
      <w:rFonts w:eastAsia="黑体"/>
      <w:b/>
      <w:bCs/>
    </w:rPr>
  </w:style>
  <w:style w:type="paragraph" w:customStyle="1" w:styleId="1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Fließtext"/>
    <w:basedOn w:val="1"/>
    <w:autoRedefine/>
    <w:qFormat/>
    <w:uiPriority w:val="99"/>
    <w:pPr>
      <w:overflowPunct w:val="0"/>
      <w:autoSpaceDE w:val="0"/>
      <w:autoSpaceDN w:val="0"/>
      <w:adjustRightInd w:val="0"/>
      <w:textAlignment w:val="baseline"/>
    </w:pPr>
    <w:rPr>
      <w:kern w:val="28"/>
      <w:szCs w:val="20"/>
    </w:rPr>
  </w:style>
  <w:style w:type="paragraph" w:customStyle="1" w:styleId="16">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4352</Words>
  <Characters>4466</Characters>
  <Lines>0</Lines>
  <Paragraphs>0</Paragraphs>
  <TotalTime>4</TotalTime>
  <ScaleCrop>false</ScaleCrop>
  <LinksUpToDate>false</LinksUpToDate>
  <CharactersWithSpaces>4883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2021-08-13T03:04:00Z</dcterms:created>
  <dc:creator>川爺</dc:creator>
  <cp:lastModifiedBy>城投集团综合办公室</cp:lastModifiedBy>
  <dcterms:modified xsi:type="dcterms:W3CDTF">2025-09-19T08:18:00Z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023664FA5BB74695BE4C5A60E704BB04_13</vt:lpwstr>
  </property>
  <property fmtid="{D5CDD505-2E9C-101B-9397-08002B2CF9AE}" pid="4" name="KSOTemplateDocerSaveRecord">
    <vt:lpwstr>eyJoZGlkIjoiMGExN2ZlMWQ0NzhiMjFkOTA2NTM0MGE1MDE1Njg5OGEiLCJ1c2VySWQiOiIxNDQ4MTU1NDk4In0=</vt:lpwstr>
  </property>
</Properties>
</file>