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0F9F">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default"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4267F1D">
      <w:pPr>
        <w:keepNext w:val="0"/>
        <w:keepLines w:val="0"/>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000000"/>
          <w:sz w:val="52"/>
          <w:szCs w:val="52"/>
        </w:rPr>
      </w:pPr>
      <w:r>
        <w:rPr>
          <w:rFonts w:hint="eastAsia" w:hAnsi="宋体" w:eastAsia="宋体" w:cs="Times New Roman"/>
          <w:color w:val="000000"/>
          <w:sz w:val="52"/>
          <w:szCs w:val="52"/>
        </w:rPr>
        <w:t>报价表</w:t>
      </w:r>
    </w:p>
    <w:p w14:paraId="465793A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23D4562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u w:val="single"/>
        </w:rPr>
      </w:pPr>
      <w:r>
        <w:rPr>
          <w:rFonts w:hint="eastAsia" w:hAnsi="宋体" w:eastAsia="宋体" w:cs="Times New Roman"/>
          <w:color w:val="000000"/>
          <w:sz w:val="32"/>
          <w:szCs w:val="32"/>
          <w:lang w:eastAsia="zh-CN"/>
        </w:rPr>
        <w:t>投标</w:t>
      </w:r>
      <w:r>
        <w:rPr>
          <w:rFonts w:hint="eastAsia" w:hAnsi="宋体" w:eastAsia="宋体" w:cs="Times New Roman"/>
          <w:color w:val="000000"/>
          <w:sz w:val="32"/>
          <w:szCs w:val="32"/>
        </w:rPr>
        <w:t>单位（公章）：</w:t>
      </w:r>
      <w:r>
        <w:rPr>
          <w:rFonts w:hint="eastAsia" w:hAnsi="宋体" w:eastAsia="宋体" w:cs="Times New Roman"/>
          <w:color w:val="000000"/>
          <w:sz w:val="32"/>
          <w:szCs w:val="32"/>
          <w:u w:val="single"/>
        </w:rPr>
        <w:t xml:space="preserve">                                </w:t>
      </w:r>
    </w:p>
    <w:p w14:paraId="00C86CE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090E9CEA">
      <w:pPr>
        <w:keepNext w:val="0"/>
        <w:keepLines w:val="0"/>
        <w:pageBreakBefore w:val="0"/>
        <w:kinsoku/>
        <w:wordWrap/>
        <w:overflowPunct/>
        <w:topLinePunct w:val="0"/>
        <w:autoSpaceDE/>
        <w:autoSpaceDN/>
        <w:bidi w:val="0"/>
        <w:adjustRightInd/>
        <w:spacing w:line="600" w:lineRule="exact"/>
        <w:ind w:left="1600" w:hanging="1600" w:hangingChars="500"/>
        <w:textAlignment w:val="auto"/>
        <w:rPr>
          <w:rFonts w:hint="default" w:hAnsi="宋体" w:eastAsia="宋体" w:cs="Times New Roman"/>
          <w:color w:val="000000"/>
          <w:sz w:val="32"/>
          <w:szCs w:val="32"/>
          <w:u w:val="single"/>
          <w:lang w:val="en-US" w:eastAsia="zh-CN"/>
        </w:rPr>
      </w:pPr>
      <w:r>
        <w:rPr>
          <w:rFonts w:hint="eastAsia" w:hAnsi="宋体" w:eastAsia="宋体" w:cs="Times New Roman"/>
          <w:color w:val="000000"/>
          <w:sz w:val="32"/>
          <w:szCs w:val="32"/>
        </w:rPr>
        <w:t>项目名称：</w:t>
      </w:r>
      <w:r>
        <w:rPr>
          <w:rFonts w:hint="eastAsia" w:ascii="宋体" w:hAnsi="宋体" w:eastAsia="宋体" w:cs="Times New Roman"/>
          <w:color w:val="auto"/>
          <w:sz w:val="28"/>
          <w:szCs w:val="28"/>
          <w:u w:val="single"/>
          <w:lang w:val="en-US" w:eastAsia="zh-CN"/>
        </w:rPr>
        <w:t>广西桂西北治旱龙江河谷灌区工程（建设用地报批技术服务采购需求论证</w:t>
      </w:r>
      <w:r>
        <w:rPr>
          <w:rFonts w:hint="eastAsia" w:ascii="宋体" w:hAnsi="宋体" w:eastAsia="宋体" w:cs="Times New Roman"/>
          <w:color w:val="auto"/>
          <w:sz w:val="28"/>
          <w:szCs w:val="28"/>
          <w:u w:val="single"/>
          <w:lang w:val="zh-CN" w:eastAsia="zh-CN"/>
        </w:rPr>
        <w:t>咨询</w:t>
      </w:r>
      <w:r>
        <w:rPr>
          <w:rFonts w:hint="eastAsia" w:ascii="宋体" w:hAnsi="宋体" w:eastAsia="宋体" w:cs="Times New Roman"/>
          <w:color w:val="auto"/>
          <w:sz w:val="28"/>
          <w:szCs w:val="28"/>
          <w:u w:val="single"/>
          <w:lang w:val="en-US" w:eastAsia="zh-CN"/>
        </w:rPr>
        <w:t>）</w:t>
      </w:r>
    </w:p>
    <w:p w14:paraId="14A6DA1F">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1FA1EE0D">
      <w:pPr>
        <w:keepNext w:val="0"/>
        <w:keepLines w:val="0"/>
        <w:pageBreakBefore w:val="0"/>
        <w:kinsoku/>
        <w:wordWrap/>
        <w:overflowPunct/>
        <w:topLinePunct w:val="0"/>
        <w:autoSpaceDE/>
        <w:autoSpaceDN/>
        <w:bidi w:val="0"/>
        <w:adjustRightInd/>
        <w:spacing w:line="600" w:lineRule="exact"/>
        <w:textAlignment w:val="auto"/>
        <w:rPr>
          <w:rFonts w:hint="default" w:hAnsi="宋体" w:eastAsia="宋体" w:cs="Times New Roman"/>
          <w:color w:val="000000"/>
          <w:sz w:val="32"/>
          <w:szCs w:val="32"/>
          <w:u w:val="single"/>
          <w:lang w:val="en-US" w:eastAsia="zh-CN"/>
        </w:rPr>
      </w:pPr>
      <w:r>
        <w:rPr>
          <w:rFonts w:hint="eastAsia" w:hAnsi="宋体" w:eastAsia="宋体" w:cs="Times New Roman"/>
          <w:color w:val="000000"/>
          <w:sz w:val="32"/>
          <w:szCs w:val="32"/>
        </w:rPr>
        <w:t>项目编号：</w:t>
      </w:r>
      <w:r>
        <w:rPr>
          <w:rFonts w:hint="eastAsia" w:ascii="宋体" w:hAnsi="宋体" w:eastAsia="宋体" w:cs="宋体"/>
          <w:color w:val="auto"/>
          <w:kern w:val="2"/>
          <w:sz w:val="28"/>
          <w:szCs w:val="28"/>
          <w:highlight w:val="none"/>
          <w:u w:val="single"/>
          <w:lang w:val="en-US" w:eastAsia="zh-CN" w:bidi="ar-SA"/>
        </w:rPr>
        <w:t>HCCT202</w:t>
      </w:r>
      <w:r>
        <w:rPr>
          <w:rFonts w:hint="eastAsia" w:ascii="宋体" w:hAnsi="宋体" w:cs="宋体"/>
          <w:color w:val="auto"/>
          <w:kern w:val="2"/>
          <w:sz w:val="28"/>
          <w:szCs w:val="28"/>
          <w:highlight w:val="none"/>
          <w:u w:val="single"/>
          <w:lang w:val="en-US" w:eastAsia="zh-CN" w:bidi="ar-SA"/>
        </w:rPr>
        <w:t>5</w:t>
      </w:r>
      <w:r>
        <w:rPr>
          <w:rFonts w:hint="eastAsia" w:ascii="宋体" w:hAnsi="宋体" w:eastAsia="宋体" w:cs="宋体"/>
          <w:color w:val="auto"/>
          <w:kern w:val="2"/>
          <w:sz w:val="28"/>
          <w:szCs w:val="28"/>
          <w:highlight w:val="none"/>
          <w:u w:val="single"/>
          <w:lang w:val="en-US" w:eastAsia="zh-CN" w:bidi="ar-SA"/>
        </w:rPr>
        <w:t>00</w:t>
      </w:r>
      <w:r>
        <w:rPr>
          <w:rFonts w:hint="eastAsia" w:ascii="宋体" w:hAnsi="宋体" w:cs="宋体"/>
          <w:color w:val="auto"/>
          <w:kern w:val="2"/>
          <w:sz w:val="28"/>
          <w:szCs w:val="28"/>
          <w:highlight w:val="none"/>
          <w:u w:val="single"/>
          <w:lang w:val="en-US" w:eastAsia="zh-CN" w:bidi="ar-SA"/>
        </w:rPr>
        <w:t>3</w:t>
      </w:r>
      <w:r>
        <w:rPr>
          <w:rFonts w:hint="eastAsia" w:ascii="宋体" w:hAnsi="宋体" w:eastAsia="宋体" w:cs="宋体"/>
          <w:color w:val="auto"/>
          <w:kern w:val="2"/>
          <w:sz w:val="28"/>
          <w:szCs w:val="28"/>
          <w:highlight w:val="none"/>
          <w:u w:val="single"/>
          <w:lang w:val="en-US" w:eastAsia="zh-CN" w:bidi="ar-SA"/>
        </w:rPr>
        <w:t>号</w:t>
      </w:r>
    </w:p>
    <w:p w14:paraId="184C7AC8">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34D1C651">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36E41D4B">
      <w:pPr>
        <w:keepNext w:val="0"/>
        <w:keepLines w:val="0"/>
        <w:pageBreakBefore w:val="0"/>
        <w:kinsoku/>
        <w:wordWrap/>
        <w:overflowPunct/>
        <w:topLinePunct w:val="0"/>
        <w:autoSpaceDE/>
        <w:autoSpaceDN/>
        <w:bidi w:val="0"/>
        <w:adjustRightInd/>
        <w:spacing w:line="600" w:lineRule="exact"/>
        <w:jc w:val="left"/>
        <w:textAlignment w:val="auto"/>
        <w:rPr>
          <w:rFonts w:hint="eastAsia" w:ascii="仿宋_GB2312" w:hAnsi="仿宋" w:eastAsia="仿宋_GB2312"/>
          <w:sz w:val="32"/>
          <w:szCs w:val="32"/>
        </w:rPr>
      </w:pPr>
      <w:r>
        <w:rPr>
          <w:rFonts w:ascii="Arial" w:hAnsi="Arial" w:eastAsia="Arial" w:cs="Arial"/>
          <w:i w:val="0"/>
          <w:iCs w:val="0"/>
          <w:caps w:val="0"/>
          <w:color w:val="000000"/>
          <w:spacing w:val="0"/>
          <w:sz w:val="28"/>
          <w:szCs w:val="28"/>
          <w:shd w:val="clear" w:fill="FFFFFF"/>
        </w:rPr>
        <w:t>下浮系数</w:t>
      </w:r>
      <w:r>
        <w:rPr>
          <w:rFonts w:hint="eastAsia" w:hAnsi="宋体" w:eastAsia="宋体" w:cs="Times New Roman"/>
          <w:color w:val="000000"/>
          <w:sz w:val="32"/>
          <w:szCs w:val="32"/>
        </w:rPr>
        <w:t>：</w:t>
      </w:r>
      <w:r>
        <w:rPr>
          <w:rFonts w:hint="eastAsia" w:ascii="仿宋_GB2312" w:hAnsi="仿宋" w:eastAsia="仿宋_GB2312"/>
          <w:sz w:val="32"/>
          <w:szCs w:val="32"/>
          <w:u w:val="single"/>
        </w:rPr>
        <w:t xml:space="preserve">               </w:t>
      </w:r>
    </w:p>
    <w:p w14:paraId="798917C0">
      <w:pPr>
        <w:keepNext w:val="0"/>
        <w:keepLines w:val="0"/>
        <w:pageBreakBefore w:val="0"/>
        <w:kinsoku/>
        <w:wordWrap/>
        <w:overflowPunct/>
        <w:topLinePunct w:val="0"/>
        <w:autoSpaceDE/>
        <w:autoSpaceDN/>
        <w:bidi w:val="0"/>
        <w:adjustRightInd/>
        <w:spacing w:line="600" w:lineRule="exact"/>
        <w:ind w:firstLine="1280" w:firstLineChars="400"/>
        <w:textAlignment w:val="auto"/>
        <w:rPr>
          <w:rFonts w:hint="eastAsia" w:hAnsi="宋体" w:eastAsia="宋体" w:cs="Times New Roman"/>
          <w:color w:val="000000"/>
          <w:sz w:val="32"/>
          <w:szCs w:val="32"/>
        </w:rPr>
      </w:pPr>
      <w:r>
        <w:rPr>
          <w:rFonts w:hint="eastAsia" w:hAnsi="宋体" w:eastAsia="宋体" w:cs="Times New Roman"/>
          <w:color w:val="000000"/>
          <w:sz w:val="32"/>
          <w:szCs w:val="32"/>
        </w:rPr>
        <w:t xml:space="preserve">                                </w:t>
      </w:r>
    </w:p>
    <w:p w14:paraId="36DF8BCD">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455474E4">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72EAB1FB">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698F0846">
      <w:pPr>
        <w:keepNext w:val="0"/>
        <w:keepLines w:val="0"/>
        <w:pageBreakBefore w:val="0"/>
        <w:kinsoku/>
        <w:wordWrap/>
        <w:overflowPunct/>
        <w:topLinePunct w:val="0"/>
        <w:autoSpaceDE/>
        <w:autoSpaceDN/>
        <w:bidi w:val="0"/>
        <w:adjustRightInd/>
        <w:spacing w:line="600" w:lineRule="exact"/>
        <w:ind w:firstLine="6080" w:firstLineChars="1900"/>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年</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月</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日</w:t>
      </w:r>
      <w:r>
        <w:rPr>
          <w:rFonts w:hint="eastAsia" w:hAnsi="宋体" w:eastAsia="宋体" w:cs="Times New Roman"/>
          <w:color w:val="000000"/>
          <w:sz w:val="32"/>
          <w:szCs w:val="32"/>
        </w:rPr>
        <w:t xml:space="preserve">                    </w:t>
      </w:r>
    </w:p>
    <w:p w14:paraId="0A07E32F">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6C01C1D7">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10FD550D">
      <w:pPr>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b/>
          <w:bCs/>
        </w:rPr>
      </w:pPr>
      <w:r>
        <w:rPr>
          <w:rFonts w:hint="eastAsia" w:ascii="仿宋_GB2312" w:eastAsia="仿宋_GB2312"/>
          <w:b/>
          <w:bCs/>
        </w:rPr>
        <w:t>注：0&lt;下浮系数&lt;1</w:t>
      </w:r>
      <w:r>
        <w:rPr>
          <w:rFonts w:hint="eastAsia" w:ascii="仿宋_GB2312" w:eastAsia="仿宋_GB2312"/>
          <w:b/>
          <w:bCs/>
          <w:lang w:val="en-US" w:eastAsia="zh-CN"/>
        </w:rPr>
        <w:t>00%</w:t>
      </w:r>
      <w:r>
        <w:rPr>
          <w:rFonts w:hint="eastAsia" w:ascii="仿宋_GB2312" w:eastAsia="仿宋_GB2312"/>
          <w:b/>
          <w:bCs/>
        </w:rPr>
        <w:t xml:space="preserve">为有效报价。 </w:t>
      </w:r>
    </w:p>
    <w:p w14:paraId="094DB2BE">
      <w:pPr>
        <w:pStyle w:val="2"/>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7DD676A0">
      <w:pPr>
        <w:pStyle w:val="2"/>
        <w:keepNext w:val="0"/>
        <w:keepLines w:val="0"/>
        <w:pageBreakBefore w:val="0"/>
        <w:kinsoku/>
        <w:wordWrap/>
        <w:overflowPunct/>
        <w:topLinePunct w:val="0"/>
        <w:bidi w:val="0"/>
        <w:adjustRightInd/>
        <w:spacing w:line="600" w:lineRule="exact"/>
        <w:textAlignment w:val="auto"/>
      </w:pPr>
    </w:p>
    <w:p w14:paraId="512416F1">
      <w:pPr>
        <w:keepNext w:val="0"/>
        <w:keepLines w:val="0"/>
        <w:pageBreakBefore w:val="0"/>
        <w:kinsoku/>
        <w:wordWrap/>
        <w:overflowPunct/>
        <w:topLinePunct w:val="0"/>
        <w:bidi w:val="0"/>
        <w:adjustRightInd/>
        <w:spacing w:line="600" w:lineRule="exact"/>
        <w:jc w:val="left"/>
        <w:textAlignment w:val="auto"/>
        <w:rPr>
          <w:rFonts w:hint="default"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附件2</w:t>
      </w:r>
    </w:p>
    <w:p w14:paraId="4518E0DE">
      <w:pPr>
        <w:keepNext w:val="0"/>
        <w:keepLines w:val="0"/>
        <w:pageBreakBefore w:val="0"/>
        <w:widowControl w:val="0"/>
        <w:kinsoku/>
        <w:wordWrap/>
        <w:overflowPunct/>
        <w:topLinePunct w:val="0"/>
        <w:autoSpaceDE w:val="0"/>
        <w:autoSpaceDN w:val="0"/>
        <w:bidi w:val="0"/>
        <w:adjustRightInd/>
        <w:snapToGrid w:val="0"/>
        <w:spacing w:line="600" w:lineRule="exact"/>
        <w:ind w:firstLine="5120" w:firstLineChars="1600"/>
        <w:jc w:val="left"/>
        <w:textAlignment w:val="auto"/>
        <w:rPr>
          <w:rFonts w:hint="default" w:ascii="仿宋_GB2312" w:hAnsi="仿宋_GB2312" w:eastAsia="仿宋_GB2312" w:cs="仿宋_GB2312"/>
          <w:color w:val="auto"/>
          <w:kern w:val="0"/>
          <w:sz w:val="32"/>
          <w:szCs w:val="32"/>
          <w:highlight w:val="none"/>
          <w:lang w:val="en-US" w:eastAsia="zh-CN" w:bidi="zh-CN"/>
        </w:rPr>
      </w:pPr>
      <w:r>
        <w:rPr>
          <w:rFonts w:hint="eastAsia" w:ascii="仿宋_GB2312" w:hAnsi="仿宋_GB2312" w:eastAsia="仿宋_GB2312" w:cs="仿宋_GB2312"/>
          <w:color w:val="auto"/>
          <w:kern w:val="0"/>
          <w:sz w:val="32"/>
          <w:szCs w:val="32"/>
          <w:highlight w:val="none"/>
          <w:lang w:val="en-US" w:eastAsia="zh-CN" w:bidi="zh-CN"/>
        </w:rPr>
        <w:t>合同编号：</w:t>
      </w:r>
    </w:p>
    <w:p w14:paraId="292B0121">
      <w:pPr>
        <w:keepNext w:val="0"/>
        <w:keepLines w:val="0"/>
        <w:pageBreakBefore w:val="0"/>
        <w:widowControl w:val="0"/>
        <w:kinsoku/>
        <w:wordWrap/>
        <w:overflowPunct/>
        <w:topLinePunct w:val="0"/>
        <w:autoSpaceDE w:val="0"/>
        <w:autoSpaceDN w:val="0"/>
        <w:bidi w:val="0"/>
        <w:adjustRightInd/>
        <w:spacing w:before="10" w:line="600" w:lineRule="exact"/>
        <w:textAlignment w:val="auto"/>
        <w:rPr>
          <w:rFonts w:hint="eastAsia" w:ascii="方正小标宋_GBK" w:hAnsi="方正小标宋_GBK" w:eastAsia="方正小标宋_GBK" w:cs="方正小标宋_GBK"/>
          <w:b w:val="0"/>
          <w:bCs/>
          <w:color w:val="auto"/>
          <w:sz w:val="48"/>
          <w:szCs w:val="48"/>
          <w:highlight w:val="none"/>
          <w:lang w:val="zh-CN" w:eastAsia="zh-CN" w:bidi="zh-CN"/>
        </w:rPr>
      </w:pPr>
    </w:p>
    <w:p w14:paraId="7E0F5E9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lang w:val="zh-CN" w:eastAsia="zh-CN"/>
        </w:rPr>
      </w:pPr>
      <w:r>
        <w:rPr>
          <w:rFonts w:hint="eastAsia" w:ascii="宋体" w:hAnsi="宋体" w:eastAsia="宋体" w:cs="宋体"/>
          <w:b/>
          <w:bCs/>
          <w:color w:val="auto"/>
          <w:sz w:val="44"/>
          <w:szCs w:val="44"/>
          <w:highlight w:val="none"/>
          <w:lang w:val="en-US" w:eastAsia="zh-CN"/>
        </w:rPr>
        <w:t>广西桂西北治旱龙江河谷灌区工程建设用地报批技术服务采购需求论证</w:t>
      </w:r>
      <w:r>
        <w:rPr>
          <w:rFonts w:hint="eastAsia" w:ascii="宋体" w:hAnsi="宋体" w:eastAsia="宋体" w:cs="宋体"/>
          <w:b/>
          <w:bCs/>
          <w:color w:val="auto"/>
          <w:sz w:val="44"/>
          <w:szCs w:val="44"/>
          <w:highlight w:val="none"/>
          <w:lang w:val="zh-CN" w:eastAsia="zh-CN"/>
        </w:rPr>
        <w:t>咨询</w:t>
      </w:r>
      <w:r>
        <w:rPr>
          <w:rFonts w:hint="eastAsia" w:ascii="宋体" w:hAnsi="宋体" w:eastAsia="宋体" w:cs="宋体"/>
          <w:b/>
          <w:bCs/>
          <w:color w:val="auto"/>
          <w:sz w:val="44"/>
          <w:szCs w:val="44"/>
          <w:highlight w:val="none"/>
          <w:lang w:val="en-US" w:eastAsia="zh-CN"/>
        </w:rPr>
        <w:t>服务</w:t>
      </w:r>
      <w:r>
        <w:rPr>
          <w:rFonts w:hint="eastAsia" w:ascii="宋体" w:hAnsi="宋体" w:eastAsia="宋体" w:cs="宋体"/>
          <w:b/>
          <w:bCs/>
          <w:color w:val="auto"/>
          <w:sz w:val="44"/>
          <w:szCs w:val="44"/>
          <w:highlight w:val="none"/>
          <w:lang w:val="zh-CN" w:eastAsia="zh-CN"/>
        </w:rPr>
        <w:t>合同</w:t>
      </w:r>
    </w:p>
    <w:p w14:paraId="6C3FBA35">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宋体" w:hAnsi="宋体" w:eastAsia="宋体" w:cs="宋体"/>
          <w:b/>
          <w:color w:val="auto"/>
          <w:sz w:val="44"/>
          <w:szCs w:val="44"/>
          <w:highlight w:val="none"/>
          <w:lang w:val="zh-CN" w:bidi="zh-CN"/>
        </w:rPr>
      </w:pPr>
    </w:p>
    <w:p w14:paraId="64E86A24">
      <w:pPr>
        <w:keepNext w:val="0"/>
        <w:keepLines w:val="0"/>
        <w:pageBreakBefore w:val="0"/>
        <w:kinsoku/>
        <w:wordWrap/>
        <w:overflowPunct/>
        <w:topLinePunct w:val="0"/>
        <w:autoSpaceDE w:val="0"/>
        <w:autoSpaceDN w:val="0"/>
        <w:bidi w:val="0"/>
        <w:adjustRightInd/>
        <w:spacing w:beforeLines="0" w:afterLines="0" w:line="600" w:lineRule="exact"/>
        <w:jc w:val="left"/>
        <w:textAlignment w:val="auto"/>
        <w:rPr>
          <w:rFonts w:hint="eastAsia" w:ascii="微软雅黑" w:hAnsi="宋体" w:eastAsia="微软雅黑" w:cs="宋体"/>
          <w:b/>
          <w:color w:val="auto"/>
          <w:kern w:val="0"/>
          <w:sz w:val="20"/>
          <w:szCs w:val="22"/>
          <w:highlight w:val="none"/>
          <w:lang w:val="zh-CN" w:bidi="zh-CN"/>
        </w:rPr>
      </w:pPr>
    </w:p>
    <w:p w14:paraId="04A6B795">
      <w:pPr>
        <w:keepNext w:val="0"/>
        <w:keepLines w:val="0"/>
        <w:pageBreakBefore w:val="0"/>
        <w:tabs>
          <w:tab w:val="center" w:pos="4153"/>
          <w:tab w:val="right" w:pos="8306"/>
        </w:tabs>
        <w:kinsoku/>
        <w:wordWrap/>
        <w:overflowPunct/>
        <w:topLinePunct w:val="0"/>
        <w:autoSpaceDE w:val="0"/>
        <w:autoSpaceDN w:val="0"/>
        <w:bidi w:val="0"/>
        <w:adjustRightInd/>
        <w:snapToGrid w:val="0"/>
        <w:spacing w:beforeLines="0" w:afterLines="0" w:line="600" w:lineRule="exact"/>
        <w:textAlignment w:val="auto"/>
        <w:rPr>
          <w:rFonts w:hint="default" w:ascii="宋体" w:hAnsi="宋体" w:eastAsia="宋体" w:cs="宋体"/>
          <w:color w:val="auto"/>
          <w:sz w:val="18"/>
          <w:szCs w:val="18"/>
          <w:highlight w:val="none"/>
          <w:lang w:val="zh-CN" w:bidi="zh-CN"/>
        </w:rPr>
      </w:pPr>
    </w:p>
    <w:p w14:paraId="5E1F8B27">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微软雅黑" w:hAnsi="宋体" w:eastAsia="微软雅黑" w:cs="宋体"/>
          <w:b/>
          <w:color w:val="auto"/>
          <w:sz w:val="20"/>
          <w:szCs w:val="24"/>
          <w:highlight w:val="none"/>
          <w:lang w:val="zh-CN" w:bidi="zh-CN"/>
        </w:rPr>
      </w:pPr>
    </w:p>
    <w:p w14:paraId="422E4286">
      <w:pPr>
        <w:pStyle w:val="13"/>
        <w:keepNext w:val="0"/>
        <w:keepLines w:val="0"/>
        <w:pageBreakBefore w:val="0"/>
        <w:kinsoku/>
        <w:wordWrap/>
        <w:overflowPunct/>
        <w:topLinePunct w:val="0"/>
        <w:bidi w:val="0"/>
        <w:adjustRightInd/>
        <w:spacing w:line="600" w:lineRule="exact"/>
        <w:textAlignment w:val="auto"/>
        <w:rPr>
          <w:rFonts w:hint="eastAsia" w:ascii="微软雅黑" w:hAnsi="宋体" w:eastAsia="微软雅黑" w:cs="宋体"/>
          <w:b/>
          <w:color w:val="auto"/>
          <w:sz w:val="20"/>
          <w:szCs w:val="24"/>
          <w:highlight w:val="none"/>
          <w:lang w:val="zh-CN" w:bidi="zh-CN"/>
        </w:rPr>
      </w:pPr>
    </w:p>
    <w:p w14:paraId="3A85016B">
      <w:pPr>
        <w:keepNext w:val="0"/>
        <w:keepLines w:val="0"/>
        <w:pageBreakBefore w:val="0"/>
        <w:kinsoku/>
        <w:wordWrap/>
        <w:overflowPunct/>
        <w:topLinePunct w:val="0"/>
        <w:autoSpaceDE w:val="0"/>
        <w:autoSpaceDN w:val="0"/>
        <w:bidi w:val="0"/>
        <w:adjustRightInd/>
        <w:spacing w:beforeLines="0" w:afterLines="0" w:line="600" w:lineRule="exact"/>
        <w:jc w:val="left"/>
        <w:textAlignment w:val="auto"/>
        <w:rPr>
          <w:rFonts w:hint="eastAsia" w:ascii="微软雅黑" w:hAnsi="宋体" w:eastAsia="微软雅黑" w:cs="宋体"/>
          <w:b/>
          <w:color w:val="auto"/>
          <w:kern w:val="0"/>
          <w:sz w:val="20"/>
          <w:szCs w:val="22"/>
          <w:highlight w:val="none"/>
          <w:lang w:val="zh-CN" w:bidi="zh-CN"/>
        </w:rPr>
      </w:pPr>
    </w:p>
    <w:p w14:paraId="29A56EB6">
      <w:pPr>
        <w:keepNext w:val="0"/>
        <w:keepLines w:val="0"/>
        <w:pageBreakBefore w:val="0"/>
        <w:kinsoku/>
        <w:wordWrap/>
        <w:overflowPunct/>
        <w:topLinePunct w:val="0"/>
        <w:autoSpaceDE w:val="0"/>
        <w:autoSpaceDN w:val="0"/>
        <w:bidi w:val="0"/>
        <w:adjustRightInd/>
        <w:spacing w:beforeLines="0" w:afterLines="0" w:line="600" w:lineRule="exact"/>
        <w:textAlignment w:val="auto"/>
        <w:rPr>
          <w:rFonts w:hint="eastAsia" w:ascii="微软雅黑" w:hAnsi="宋体" w:eastAsia="微软雅黑" w:cs="宋体"/>
          <w:b/>
          <w:color w:val="auto"/>
          <w:sz w:val="20"/>
          <w:szCs w:val="24"/>
          <w:highlight w:val="none"/>
          <w:lang w:val="zh-CN" w:bidi="zh-CN"/>
        </w:rPr>
      </w:pPr>
    </w:p>
    <w:p w14:paraId="61666131">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lang w:val="zh-CN" w:bidi="zh-CN"/>
        </w:rPr>
      </w:pPr>
    </w:p>
    <w:p w14:paraId="3AEA64F9">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lang w:val="zh-CN" w:bidi="zh-CN"/>
        </w:rPr>
      </w:pPr>
    </w:p>
    <w:p w14:paraId="7675B63F">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lang w:val="zh-CN" w:bidi="zh-CN"/>
        </w:rPr>
      </w:pPr>
      <w:r>
        <w:rPr>
          <w:rFonts w:hint="eastAsia" w:ascii="宋体" w:hAnsi="宋体" w:eastAsia="宋体" w:cs="宋体"/>
          <w:color w:val="auto"/>
          <w:kern w:val="0"/>
          <w:sz w:val="28"/>
          <w:szCs w:val="28"/>
          <w:highlight w:val="none"/>
          <w:lang w:val="zh-CN" w:bidi="zh-CN"/>
        </w:rPr>
        <w:t>工程名称：</w:t>
      </w:r>
      <w:r>
        <w:rPr>
          <w:rFonts w:hint="eastAsia" w:ascii="宋体" w:hAnsi="宋体" w:eastAsia="宋体" w:cs="宋体"/>
          <w:color w:val="auto"/>
          <w:kern w:val="0"/>
          <w:sz w:val="28"/>
          <w:szCs w:val="28"/>
          <w:highlight w:val="none"/>
          <w:u w:val="single"/>
          <w:lang w:val="zh-CN" w:eastAsia="zh-CN" w:bidi="zh-CN"/>
        </w:rPr>
        <w:t>广西桂西北治旱龙江河谷灌区工程（建设用地报批技术服务）</w:t>
      </w:r>
    </w:p>
    <w:p w14:paraId="027F4BFF">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auto"/>
          <w:kern w:val="0"/>
          <w:sz w:val="28"/>
          <w:szCs w:val="28"/>
          <w:highlight w:val="none"/>
          <w:lang w:val="zh-CN" w:bidi="zh-CN"/>
        </w:rPr>
        <w:t>委 托 人：</w:t>
      </w:r>
      <w:r>
        <w:rPr>
          <w:rFonts w:hint="eastAsia" w:ascii="宋体" w:hAnsi="宋体" w:eastAsia="宋体" w:cs="宋体"/>
          <w:color w:val="auto"/>
          <w:kern w:val="0"/>
          <w:sz w:val="28"/>
          <w:szCs w:val="28"/>
          <w:highlight w:val="none"/>
          <w:u w:val="single"/>
          <w:lang w:val="en-US" w:eastAsia="zh-CN" w:bidi="zh-CN"/>
        </w:rPr>
        <w:t>河池市生态及资源投资开发有限公司</w:t>
      </w:r>
    </w:p>
    <w:p w14:paraId="4F5F843C">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color w:val="auto"/>
          <w:kern w:val="0"/>
          <w:sz w:val="28"/>
          <w:szCs w:val="28"/>
          <w:highlight w:val="none"/>
          <w:u w:val="single"/>
          <w:lang w:val="en-US" w:bidi="zh-CN"/>
        </w:rPr>
      </w:pPr>
      <w:r>
        <w:rPr>
          <w:rFonts w:hint="eastAsia" w:ascii="宋体" w:hAnsi="宋体" w:eastAsia="宋体" w:cs="宋体"/>
          <w:color w:val="auto"/>
          <w:kern w:val="0"/>
          <w:sz w:val="28"/>
          <w:szCs w:val="28"/>
          <w:highlight w:val="none"/>
          <w:lang w:val="zh-CN" w:bidi="zh-CN"/>
        </w:rPr>
        <w:t>咨 询 人：</w:t>
      </w:r>
      <w:r>
        <w:rPr>
          <w:rFonts w:hint="eastAsia" w:ascii="宋体" w:hAnsi="宋体" w:eastAsia="宋体" w:cs="宋体"/>
          <w:color w:val="auto"/>
          <w:kern w:val="0"/>
          <w:sz w:val="28"/>
          <w:szCs w:val="28"/>
          <w:highlight w:val="none"/>
          <w:u w:val="single"/>
          <w:lang w:val="en-US" w:bidi="zh-CN"/>
        </w:rPr>
        <w:t xml:space="preserve">                                </w:t>
      </w:r>
    </w:p>
    <w:p w14:paraId="7CF2D04E">
      <w:pPr>
        <w:keepNext w:val="0"/>
        <w:keepLines w:val="0"/>
        <w:pageBreakBefore w:val="0"/>
        <w:widowControl w:val="0"/>
        <w:kinsoku/>
        <w:wordWrap/>
        <w:overflowPunct/>
        <w:topLinePunct w:val="0"/>
        <w:autoSpaceDE w:val="0"/>
        <w:autoSpaceDN w:val="0"/>
        <w:bidi w:val="0"/>
        <w:adjustRightInd/>
        <w:spacing w:beforeLines="0" w:afterLines="0" w:line="600" w:lineRule="exact"/>
        <w:ind w:firstLine="280" w:firstLineChars="100"/>
        <w:jc w:val="left"/>
        <w:textAlignment w:val="auto"/>
        <w:rPr>
          <w:rFonts w:hint="eastAsia" w:ascii="宋体" w:hAnsi="宋体" w:eastAsia="宋体" w:cs="宋体"/>
          <w:sz w:val="28"/>
          <w:szCs w:val="28"/>
          <w:lang w:val="en-US"/>
        </w:rPr>
      </w:pPr>
      <w:r>
        <w:rPr>
          <w:rFonts w:hint="eastAsia" w:ascii="宋体" w:hAnsi="宋体" w:eastAsia="宋体" w:cs="宋体"/>
          <w:color w:val="auto"/>
          <w:kern w:val="0"/>
          <w:sz w:val="28"/>
          <w:szCs w:val="28"/>
          <w:highlight w:val="none"/>
          <w:lang w:val="zh-CN" w:bidi="zh-CN"/>
        </w:rPr>
        <w:t>建设地点：</w:t>
      </w:r>
      <w:r>
        <w:rPr>
          <w:rFonts w:hint="eastAsia" w:ascii="宋体" w:hAnsi="宋体" w:eastAsia="宋体" w:cs="宋体"/>
          <w:color w:val="auto"/>
          <w:kern w:val="0"/>
          <w:sz w:val="28"/>
          <w:szCs w:val="28"/>
          <w:highlight w:val="none"/>
          <w:u w:val="single"/>
          <w:lang w:val="en-US" w:bidi="zh-CN"/>
        </w:rPr>
        <w:t xml:space="preserve">河池市                          </w:t>
      </w:r>
    </w:p>
    <w:p w14:paraId="71AD0B64">
      <w:pPr>
        <w:keepNext w:val="0"/>
        <w:keepLines w:val="0"/>
        <w:pageBreakBefore w:val="0"/>
        <w:widowControl w:val="0"/>
        <w:tabs>
          <w:tab w:val="center" w:pos="4153"/>
          <w:tab w:val="right" w:pos="8306"/>
        </w:tabs>
        <w:kinsoku/>
        <w:wordWrap/>
        <w:overflowPunct/>
        <w:topLinePunct w:val="0"/>
        <w:bidi w:val="0"/>
        <w:adjustRightInd/>
        <w:snapToGrid w:val="0"/>
        <w:spacing w:line="600" w:lineRule="exact"/>
        <w:ind w:firstLine="280" w:firstLineChars="100"/>
        <w:jc w:val="both"/>
        <w:textAlignment w:val="auto"/>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签订日期：</w:t>
      </w:r>
      <w:r>
        <w:rPr>
          <w:rFonts w:hint="eastAsia" w:ascii="宋体" w:hAnsi="宋体" w:eastAsia="宋体" w:cs="宋体"/>
          <w:color w:val="auto"/>
          <w:kern w:val="2"/>
          <w:sz w:val="28"/>
          <w:szCs w:val="28"/>
          <w:highlight w:val="none"/>
          <w:u w:val="single"/>
          <w:lang w:val="en-US" w:eastAsia="zh-CN" w:bidi="ar-SA"/>
        </w:rPr>
        <w:t>2025</w:t>
      </w:r>
      <w:r>
        <w:rPr>
          <w:rFonts w:hint="eastAsia" w:ascii="宋体" w:hAnsi="宋体" w:eastAsia="宋体" w:cs="宋体"/>
          <w:color w:val="auto"/>
          <w:kern w:val="2"/>
          <w:sz w:val="28"/>
          <w:szCs w:val="28"/>
          <w:highlight w:val="none"/>
          <w:lang w:val="en-US" w:eastAsia="zh-CN" w:bidi="ar-SA"/>
        </w:rPr>
        <w:t>年</w:t>
      </w:r>
      <w:r>
        <w:rPr>
          <w:rFonts w:hint="eastAsia" w:ascii="宋体" w:hAnsi="宋体" w:eastAsia="宋体" w:cs="宋体"/>
          <w:color w:val="auto"/>
          <w:kern w:val="2"/>
          <w:sz w:val="28"/>
          <w:szCs w:val="28"/>
          <w:highlight w:val="none"/>
          <w:u w:val="single"/>
          <w:lang w:val="en-US" w:eastAsia="zh-CN" w:bidi="ar-SA"/>
        </w:rPr>
        <w:t>3</w:t>
      </w:r>
      <w:r>
        <w:rPr>
          <w:rFonts w:hint="eastAsia" w:ascii="宋体" w:hAnsi="宋体" w:eastAsia="宋体" w:cs="宋体"/>
          <w:color w:val="auto"/>
          <w:kern w:val="2"/>
          <w:sz w:val="28"/>
          <w:szCs w:val="28"/>
          <w:highlight w:val="none"/>
          <w:lang w:val="en-US" w:eastAsia="zh-CN" w:bidi="ar-SA"/>
        </w:rPr>
        <w:t>月</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2F8CD97A">
      <w:pPr>
        <w:keepNext w:val="0"/>
        <w:keepLines w:val="0"/>
        <w:pageBreakBefore w:val="0"/>
        <w:kinsoku/>
        <w:wordWrap/>
        <w:overflowPunct/>
        <w:topLinePunct w:val="0"/>
        <w:bidi w:val="0"/>
        <w:adjustRightInd/>
        <w:spacing w:line="600" w:lineRule="exact"/>
        <w:ind w:firstLine="3812" w:firstLineChars="1356"/>
        <w:jc w:val="left"/>
        <w:textAlignment w:val="auto"/>
        <w:rPr>
          <w:rFonts w:hint="eastAsia" w:ascii="宋体" w:hAnsi="宋体" w:eastAsia="宋体" w:cs="宋体"/>
          <w:b/>
          <w:color w:val="auto"/>
          <w:sz w:val="28"/>
          <w:szCs w:val="28"/>
          <w:highlight w:val="none"/>
        </w:rPr>
      </w:pPr>
    </w:p>
    <w:p w14:paraId="1089BA5B">
      <w:pPr>
        <w:keepNext w:val="0"/>
        <w:keepLines w:val="0"/>
        <w:pageBreakBefore w:val="0"/>
        <w:tabs>
          <w:tab w:val="center" w:pos="4153"/>
          <w:tab w:val="right" w:pos="8306"/>
        </w:tabs>
        <w:kinsoku/>
        <w:wordWrap/>
        <w:overflowPunct/>
        <w:topLinePunct w:val="0"/>
        <w:bidi w:val="0"/>
        <w:adjustRightInd/>
        <w:spacing w:line="600" w:lineRule="exact"/>
        <w:textAlignment w:val="auto"/>
        <w:rPr>
          <w:rFonts w:hint="eastAsia" w:ascii="宋体" w:hAnsi="宋体" w:eastAsia="宋体" w:cs="宋体"/>
          <w:b/>
          <w:color w:val="auto"/>
          <w:sz w:val="28"/>
          <w:szCs w:val="28"/>
          <w:highlight w:val="none"/>
        </w:rPr>
        <w:sectPr>
          <w:footerReference r:id="rId4" w:type="first"/>
          <w:footerReference r:id="rId3" w:type="default"/>
          <w:pgSz w:w="11906" w:h="16838"/>
          <w:pgMar w:top="2098" w:right="1474" w:bottom="1440" w:left="1587" w:header="964" w:footer="964" w:gutter="0"/>
          <w:pgNumType w:fmt="decimal" w:start="1"/>
          <w:cols w:space="720" w:num="1"/>
          <w:docGrid w:type="lines" w:linePitch="312" w:charSpace="0"/>
        </w:sectPr>
      </w:pPr>
    </w:p>
    <w:p w14:paraId="6662A8A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广西桂西北治旱龙江河谷灌区工程建设用地报批技术</w:t>
      </w:r>
    </w:p>
    <w:p w14:paraId="1D77E5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服务采购需求论证</w:t>
      </w:r>
      <w:r>
        <w:rPr>
          <w:rFonts w:hint="eastAsia" w:ascii="宋体" w:hAnsi="宋体" w:eastAsia="宋体" w:cs="宋体"/>
          <w:color w:val="auto"/>
          <w:sz w:val="36"/>
          <w:szCs w:val="36"/>
          <w:highlight w:val="none"/>
          <w:lang w:val="zh-CN" w:eastAsia="zh-CN"/>
        </w:rPr>
        <w:t>咨询</w:t>
      </w:r>
      <w:r>
        <w:rPr>
          <w:rFonts w:hint="eastAsia" w:ascii="宋体" w:hAnsi="宋体" w:eastAsia="宋体" w:cs="宋体"/>
          <w:color w:val="auto"/>
          <w:sz w:val="36"/>
          <w:szCs w:val="36"/>
          <w:highlight w:val="none"/>
          <w:lang w:val="en-US" w:eastAsia="zh-CN"/>
        </w:rPr>
        <w:t>服务协议书</w:t>
      </w:r>
    </w:p>
    <w:p w14:paraId="26D07D3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rPr>
      </w:pPr>
    </w:p>
    <w:p w14:paraId="23E5B0D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（全称）：</w:t>
      </w:r>
      <w:r>
        <w:rPr>
          <w:rFonts w:hint="eastAsia" w:ascii="宋体" w:hAnsi="宋体" w:eastAsia="宋体" w:cs="宋体"/>
          <w:color w:val="auto"/>
          <w:sz w:val="28"/>
          <w:szCs w:val="28"/>
          <w:highlight w:val="none"/>
          <w:u w:val="single"/>
          <w:lang w:val="en-US" w:eastAsia="zh-CN"/>
        </w:rPr>
        <w:t>河池市生态及资源投资开发有限公司</w:t>
      </w:r>
    </w:p>
    <w:p w14:paraId="4F6E318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8"/>
          <w:szCs w:val="28"/>
          <w:highlight w:val="none"/>
          <w:u w:val="single"/>
          <w:lang w:val="en-US"/>
        </w:rPr>
      </w:pP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rPr>
        <w:t>（全称）：</w:t>
      </w:r>
      <w:r>
        <w:rPr>
          <w:rFonts w:hint="eastAsia" w:ascii="宋体" w:hAnsi="宋体" w:eastAsia="宋体" w:cs="宋体"/>
          <w:color w:val="auto"/>
          <w:sz w:val="28"/>
          <w:szCs w:val="28"/>
          <w:highlight w:val="none"/>
          <w:u w:val="single"/>
          <w:lang w:val="en-US" w:eastAsia="zh-CN"/>
        </w:rPr>
        <w:t xml:space="preserve">                                </w:t>
      </w:r>
    </w:p>
    <w:p w14:paraId="425C8E2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根据《中华人民共和国民法典》及其他有关法律、法规，遵循平等、自愿、公平和诚实信用的原则，双方就</w:t>
      </w:r>
      <w:r>
        <w:rPr>
          <w:rFonts w:hint="eastAsia" w:ascii="宋体" w:hAnsi="宋体" w:eastAsia="宋体" w:cs="宋体"/>
          <w:color w:val="auto"/>
          <w:sz w:val="28"/>
          <w:szCs w:val="28"/>
          <w:highlight w:val="none"/>
          <w:u w:val="single"/>
          <w:lang w:val="zh-CN" w:eastAsia="zh-CN"/>
        </w:rPr>
        <w:t>广西桂西北治旱龙江河谷灌区工程建设用地报批</w:t>
      </w:r>
      <w:r>
        <w:rPr>
          <w:rFonts w:hint="eastAsia" w:ascii="宋体" w:hAnsi="宋体" w:eastAsia="宋体" w:cs="宋体"/>
          <w:color w:val="auto"/>
          <w:sz w:val="28"/>
          <w:szCs w:val="28"/>
          <w:highlight w:val="none"/>
          <w:u w:val="single"/>
          <w:lang w:val="en-US" w:eastAsia="zh-CN"/>
        </w:rPr>
        <w:t>采购需求论证</w:t>
      </w:r>
      <w:r>
        <w:rPr>
          <w:rFonts w:hint="eastAsia" w:ascii="宋体" w:hAnsi="宋体" w:eastAsia="宋体" w:cs="宋体"/>
          <w:color w:val="auto"/>
          <w:sz w:val="28"/>
          <w:szCs w:val="28"/>
          <w:highlight w:val="none"/>
          <w:u w:val="single"/>
          <w:lang w:val="zh-CN" w:eastAsia="zh-CN"/>
        </w:rPr>
        <w:t>咨</w:t>
      </w:r>
      <w:r>
        <w:rPr>
          <w:rFonts w:hint="eastAsia" w:ascii="宋体" w:hAnsi="宋体" w:eastAsia="宋体" w:cs="宋体"/>
          <w:color w:val="auto"/>
          <w:sz w:val="28"/>
          <w:szCs w:val="28"/>
          <w:highlight w:val="none"/>
          <w:u w:val="single"/>
          <w:lang w:val="zh-CN"/>
        </w:rPr>
        <w:t>询</w:t>
      </w:r>
      <w:r>
        <w:rPr>
          <w:rFonts w:hint="eastAsia" w:ascii="宋体" w:hAnsi="宋体" w:eastAsia="宋体" w:cs="宋体"/>
          <w:color w:val="auto"/>
          <w:sz w:val="28"/>
          <w:szCs w:val="28"/>
          <w:highlight w:val="none"/>
        </w:rPr>
        <w:t>事项协商一致，订立本合同。</w:t>
      </w:r>
    </w:p>
    <w:p w14:paraId="2FEBEA3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一、工程概况</w:t>
      </w:r>
    </w:p>
    <w:p w14:paraId="286EECD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1.工程名称：</w:t>
      </w:r>
      <w:r>
        <w:rPr>
          <w:rFonts w:hint="eastAsia" w:ascii="宋体" w:hAnsi="宋体" w:eastAsia="宋体" w:cs="宋体"/>
          <w:color w:val="auto"/>
          <w:sz w:val="28"/>
          <w:szCs w:val="28"/>
          <w:highlight w:val="none"/>
          <w:u w:val="single"/>
          <w:lang w:val="zh-CN" w:eastAsia="zh-CN"/>
        </w:rPr>
        <w:t>广西桂西北治旱龙江河谷灌区工程（建设用地报批</w:t>
      </w:r>
      <w:r>
        <w:rPr>
          <w:rFonts w:hint="eastAsia" w:ascii="宋体" w:hAnsi="宋体" w:eastAsia="宋体" w:cs="宋体"/>
          <w:color w:val="auto"/>
          <w:sz w:val="28"/>
          <w:szCs w:val="28"/>
          <w:highlight w:val="none"/>
          <w:u w:val="single"/>
          <w:lang w:val="en-US" w:eastAsia="zh-CN"/>
        </w:rPr>
        <w:t>采购需求论证</w:t>
      </w:r>
      <w:r>
        <w:rPr>
          <w:rFonts w:hint="eastAsia" w:ascii="宋体" w:hAnsi="宋体" w:eastAsia="宋体" w:cs="宋体"/>
          <w:color w:val="auto"/>
          <w:sz w:val="28"/>
          <w:szCs w:val="28"/>
          <w:highlight w:val="none"/>
          <w:u w:val="single"/>
          <w:lang w:val="zh-CN"/>
        </w:rPr>
        <w:t>咨询</w:t>
      </w:r>
      <w:r>
        <w:rPr>
          <w:rFonts w:hint="eastAsia" w:ascii="宋体" w:hAnsi="宋体" w:eastAsia="宋体" w:cs="宋体"/>
          <w:color w:val="auto"/>
          <w:sz w:val="28"/>
          <w:szCs w:val="28"/>
          <w:highlight w:val="none"/>
          <w:u w:val="single"/>
          <w:lang w:val="zh-CN" w:eastAsia="zh-CN"/>
        </w:rPr>
        <w:t>）</w:t>
      </w:r>
    </w:p>
    <w:p w14:paraId="2DBD0BF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建设地点：</w:t>
      </w:r>
      <w:r>
        <w:rPr>
          <w:rFonts w:hint="eastAsia" w:ascii="宋体" w:hAnsi="宋体" w:eastAsia="宋体" w:cs="宋体"/>
          <w:color w:val="auto"/>
          <w:sz w:val="28"/>
          <w:szCs w:val="28"/>
          <w:highlight w:val="none"/>
          <w:u w:val="single"/>
          <w:lang w:eastAsia="zh-CN"/>
        </w:rPr>
        <w:t>河池市</w:t>
      </w:r>
    </w:p>
    <w:p w14:paraId="31E6B9F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建设内容：</w:t>
      </w:r>
      <w:r>
        <w:rPr>
          <w:rFonts w:hint="eastAsia" w:ascii="宋体" w:hAnsi="宋体" w:eastAsia="宋体" w:cs="宋体"/>
          <w:color w:val="auto"/>
          <w:sz w:val="28"/>
          <w:szCs w:val="28"/>
          <w:highlight w:val="none"/>
          <w:lang w:val="en-US" w:eastAsia="zh-CN"/>
        </w:rPr>
        <w:t>龙江河谷灌区工程开发任务为农业灌溉及城乡供水，保障区域经济社会用水安全，为保障区域粮食生产安全、巩固扶贫攻坚成果、实现乡村振兴创造条件。龙江河谷灌区位于广西著名的桂西北旱片，属云贵高原与广西丘陵交接的斜坡地带，灌区地貌类型主要为岩溶地貌，局部为非岩溶地貌，岩溶发育等级为岩溶强烈发育，范围涉及河池市宜州区、金城江区、环江县、罗城县、南丹县共5县（区）29个乡镇，工程设计灌溉面积约为100.4万亩，属大（2）型灌区，工程等别为Ⅱ等。主要建设内容包括新建外引取水5座，包括龙江干流下桥电站左岸取水口、拉浪泵站取水口，东小江拉宾泵站取水口、洛东电站库区刘三姐及赵村泵站取水口；设骨干泵站工程14座，其中新建库区及河道提水泵站5座、管道加压泵站7座、渠道提水泵站2座；建设骨干输水干线9条，总长247.489km；建设支管65条，总长190.478km，二级支管52条，总长86.947km；调蓄水池93个；现有骨干渠系工程续建配套及改扩建总长度173.82km。工程总用地面积为27242.08亩，其中永久用地面积2549.83亩、临时用地面积24692.25亩。工程建设征地涉及永久基本农田18926.15亩，其中永久用地涉及943.61亩，临时用地涉及17982.54亩。</w:t>
      </w:r>
    </w:p>
    <w:p w14:paraId="7701F44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二、服务范围及工作内容</w:t>
      </w:r>
    </w:p>
    <w:p w14:paraId="73D3603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服务范围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完成</w:t>
      </w:r>
      <w:r>
        <w:rPr>
          <w:rFonts w:hint="eastAsia" w:ascii="宋体" w:hAnsi="宋体" w:eastAsia="宋体" w:cs="宋体"/>
          <w:color w:val="auto"/>
          <w:sz w:val="28"/>
          <w:szCs w:val="28"/>
          <w:highlight w:val="none"/>
          <w:u w:val="single"/>
          <w:lang w:val="zh-CN" w:eastAsia="zh-CN"/>
        </w:rPr>
        <w:t>广西桂西北治旱龙江河谷灌区工程</w:t>
      </w:r>
      <w:r>
        <w:rPr>
          <w:rFonts w:hint="eastAsia" w:ascii="宋体" w:hAnsi="宋体" w:eastAsia="宋体" w:cs="宋体"/>
          <w:color w:val="auto"/>
          <w:sz w:val="28"/>
          <w:szCs w:val="28"/>
          <w:highlight w:val="none"/>
          <w:u w:val="single"/>
          <w:lang w:val="en-US" w:eastAsia="zh-CN"/>
        </w:rPr>
        <w:t>项目</w:t>
      </w:r>
      <w:r>
        <w:rPr>
          <w:rFonts w:hint="eastAsia" w:ascii="宋体" w:hAnsi="宋体" w:eastAsia="宋体" w:cs="宋体"/>
          <w:color w:val="auto"/>
          <w:sz w:val="28"/>
          <w:szCs w:val="28"/>
          <w:highlight w:val="none"/>
          <w:u w:val="single"/>
          <w:lang w:val="zh-CN" w:eastAsia="zh-CN"/>
        </w:rPr>
        <w:t>建设用地报批</w:t>
      </w:r>
      <w:r>
        <w:rPr>
          <w:rFonts w:hint="eastAsia" w:ascii="宋体" w:hAnsi="宋体" w:eastAsia="宋体" w:cs="宋体"/>
          <w:color w:val="auto"/>
          <w:sz w:val="28"/>
          <w:szCs w:val="28"/>
          <w:highlight w:val="none"/>
          <w:u w:val="single"/>
          <w:lang w:val="en-US" w:eastAsia="zh-CN"/>
        </w:rPr>
        <w:t>采购需求论证</w:t>
      </w:r>
      <w:r>
        <w:rPr>
          <w:rFonts w:hint="eastAsia" w:ascii="宋体" w:hAnsi="宋体" w:eastAsia="宋体" w:cs="宋体"/>
          <w:color w:val="auto"/>
          <w:sz w:val="28"/>
          <w:szCs w:val="28"/>
          <w:highlight w:val="none"/>
          <w:u w:val="single"/>
          <w:lang w:val="zh-CN" w:eastAsia="zh-CN"/>
        </w:rPr>
        <w:t>咨询事项</w:t>
      </w:r>
      <w:r>
        <w:rPr>
          <w:rFonts w:hint="eastAsia" w:ascii="宋体" w:hAnsi="宋体" w:eastAsia="宋体" w:cs="宋体"/>
          <w:color w:val="auto"/>
          <w:sz w:val="28"/>
          <w:szCs w:val="28"/>
          <w:highlight w:val="none"/>
          <w:u w:val="single"/>
          <w:lang w:val="en-US" w:eastAsia="zh-CN"/>
        </w:rPr>
        <w:t>并提交相关成果文件</w:t>
      </w:r>
      <w:r>
        <w:rPr>
          <w:rFonts w:hint="eastAsia" w:ascii="宋体" w:hAnsi="宋体" w:eastAsia="宋体" w:cs="宋体"/>
          <w:color w:val="auto"/>
          <w:sz w:val="28"/>
          <w:szCs w:val="28"/>
          <w:lang w:eastAsia="zh-CN"/>
        </w:rPr>
        <w:t>；</w:t>
      </w:r>
    </w:p>
    <w:p w14:paraId="0EA8E05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2.具体</w:t>
      </w:r>
      <w:r>
        <w:rPr>
          <w:rFonts w:hint="eastAsia" w:ascii="宋体" w:hAnsi="宋体" w:eastAsia="宋体" w:cs="宋体"/>
          <w:color w:val="auto"/>
          <w:sz w:val="28"/>
          <w:szCs w:val="28"/>
          <w:highlight w:val="none"/>
        </w:rPr>
        <w:t>工作内容：</w:t>
      </w:r>
      <w:r>
        <w:rPr>
          <w:rFonts w:hint="eastAsia" w:ascii="宋体" w:hAnsi="宋体" w:eastAsia="宋体" w:cs="宋体"/>
          <w:color w:val="auto"/>
          <w:sz w:val="28"/>
          <w:szCs w:val="28"/>
          <w:lang w:val="en-US" w:eastAsia="zh-CN"/>
        </w:rPr>
        <w:t>开展第三方调查论证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包括</w:t>
      </w:r>
      <w:r>
        <w:rPr>
          <w:rFonts w:hint="eastAsia" w:ascii="宋体" w:hAnsi="宋体" w:eastAsia="宋体" w:cs="宋体"/>
          <w:color w:val="auto"/>
          <w:sz w:val="28"/>
          <w:szCs w:val="28"/>
          <w:lang w:eastAsia="zh-CN"/>
        </w:rPr>
        <w:t>采购需求调查、采购实施计划编制、采购需求咨询、采购预算咨询（</w:t>
      </w:r>
      <w:r>
        <w:rPr>
          <w:rFonts w:hint="eastAsia" w:ascii="宋体" w:hAnsi="宋体" w:eastAsia="宋体" w:cs="宋体"/>
          <w:color w:val="auto"/>
          <w:sz w:val="28"/>
          <w:szCs w:val="28"/>
          <w:lang w:val="en-US" w:eastAsia="zh-CN"/>
        </w:rPr>
        <w:t>有计费依据的按照相关依据计算，没有计费依据的需向有提供相关服务单位进行咨询，</w:t>
      </w:r>
      <w:r>
        <w:rPr>
          <w:rFonts w:hint="eastAsia" w:ascii="宋体" w:hAnsi="宋体" w:cs="宋体"/>
          <w:color w:val="auto"/>
          <w:sz w:val="28"/>
          <w:szCs w:val="28"/>
          <w:lang w:val="en-US" w:eastAsia="zh-CN"/>
        </w:rPr>
        <w:t>合格的</w:t>
      </w:r>
      <w:r>
        <w:rPr>
          <w:rFonts w:hint="eastAsia" w:ascii="宋体" w:hAnsi="宋体" w:eastAsia="宋体" w:cs="宋体"/>
          <w:color w:val="auto"/>
          <w:sz w:val="28"/>
          <w:szCs w:val="28"/>
          <w:lang w:val="en-US" w:eastAsia="zh-CN"/>
        </w:rPr>
        <w:t>咨询对象不少于三家</w:t>
      </w:r>
      <w:r>
        <w:rPr>
          <w:rFonts w:hint="eastAsia" w:ascii="宋体" w:hAnsi="宋体" w:eastAsia="宋体" w:cs="宋体"/>
          <w:color w:val="auto"/>
          <w:sz w:val="28"/>
          <w:szCs w:val="28"/>
          <w:lang w:eastAsia="zh-CN"/>
        </w:rPr>
        <w:t>），出具采购需求第三方调查论证报告</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lang w:eastAsia="zh-CN"/>
        </w:rPr>
        <w:t>，并按规定送甲</w:t>
      </w:r>
      <w:r>
        <w:rPr>
          <w:rFonts w:hint="eastAsia" w:ascii="宋体" w:hAnsi="宋体" w:eastAsia="宋体" w:cs="宋体"/>
          <w:color w:val="auto"/>
          <w:sz w:val="28"/>
          <w:szCs w:val="28"/>
        </w:rPr>
        <w:t>方审定</w:t>
      </w:r>
      <w:r>
        <w:rPr>
          <w:rFonts w:hint="eastAsia" w:ascii="宋体" w:hAnsi="宋体" w:eastAsia="宋体" w:cs="宋体"/>
          <w:color w:val="auto"/>
          <w:sz w:val="28"/>
          <w:szCs w:val="28"/>
          <w:highlight w:val="none"/>
        </w:rPr>
        <w:t>。</w:t>
      </w:r>
    </w:p>
    <w:p w14:paraId="5D09595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服务期限：</w:t>
      </w:r>
      <w:r>
        <w:rPr>
          <w:rFonts w:hint="eastAsia" w:ascii="宋体" w:hAnsi="宋体" w:eastAsia="宋体" w:cs="宋体"/>
          <w:color w:val="auto"/>
          <w:sz w:val="28"/>
          <w:szCs w:val="28"/>
          <w:highlight w:val="none"/>
          <w:u w:val="single"/>
          <w:lang w:val="en-US" w:eastAsia="zh-CN"/>
        </w:rPr>
        <w:t>合同签订后5个工作日内完</w:t>
      </w:r>
      <w:r>
        <w:rPr>
          <w:rFonts w:hint="eastAsia" w:ascii="宋体" w:hAnsi="宋体" w:eastAsia="宋体" w:cs="宋体"/>
          <w:color w:val="auto"/>
          <w:sz w:val="28"/>
          <w:szCs w:val="28"/>
          <w:u w:val="single"/>
          <w:lang w:val="en-US" w:eastAsia="zh-CN"/>
        </w:rPr>
        <w:t>成</w:t>
      </w:r>
      <w:r>
        <w:rPr>
          <w:rFonts w:hint="eastAsia" w:ascii="宋体" w:hAnsi="宋体" w:eastAsia="宋体" w:cs="宋体"/>
          <w:color w:val="auto"/>
          <w:sz w:val="28"/>
          <w:szCs w:val="28"/>
          <w:lang w:val="en-US" w:eastAsia="zh-CN"/>
        </w:rPr>
        <w:t>。</w:t>
      </w:r>
    </w:p>
    <w:p w14:paraId="11B914B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四、咨询费用</w:t>
      </w:r>
    </w:p>
    <w:p w14:paraId="57E55F5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咨询</w:t>
      </w:r>
      <w:r>
        <w:rPr>
          <w:rFonts w:hint="eastAsia" w:ascii="宋体" w:hAnsi="宋体" w:eastAsia="宋体" w:cs="宋体"/>
          <w:color w:val="auto"/>
          <w:sz w:val="28"/>
          <w:szCs w:val="28"/>
          <w:highlight w:val="none"/>
        </w:rPr>
        <w:t>服务费率为：</w:t>
      </w:r>
      <w:r>
        <w:rPr>
          <w:rFonts w:hint="eastAsia" w:ascii="宋体" w:hAnsi="宋体" w:eastAsia="宋体" w:cs="宋体"/>
          <w:color w:val="auto"/>
          <w:sz w:val="28"/>
          <w:szCs w:val="28"/>
          <w:highlight w:val="none"/>
          <w:u w:val="single"/>
          <w:lang w:val="en-US" w:eastAsia="zh-CN"/>
        </w:rPr>
        <w:t>100万以下收费标准为1.20％，100-500万（含）收费标准为0.64％，500万元以上收费标准为0.36％，计费标准按差额定率分档累进法计算</w:t>
      </w:r>
      <w:r>
        <w:rPr>
          <w:rFonts w:hint="eastAsia" w:ascii="宋体" w:hAnsi="宋体" w:eastAsia="宋体" w:cs="宋体"/>
          <w:color w:val="auto"/>
          <w:sz w:val="28"/>
          <w:szCs w:val="28"/>
          <w:highlight w:val="none"/>
          <w:u w:val="none"/>
          <w:lang w:val="en-US" w:eastAsia="zh-CN"/>
        </w:rPr>
        <w:t>。</w:t>
      </w:r>
    </w:p>
    <w:p w14:paraId="422EE25B">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咨询费用以</w:t>
      </w:r>
      <w:r>
        <w:rPr>
          <w:rFonts w:hint="eastAsia" w:ascii="宋体" w:hAnsi="宋体" w:eastAsia="宋体" w:cs="宋体"/>
          <w:color w:val="auto"/>
          <w:sz w:val="28"/>
          <w:szCs w:val="28"/>
          <w:highlight w:val="none"/>
          <w:lang w:val="en-US" w:eastAsia="zh-CN"/>
        </w:rPr>
        <w:t>第三方调查论证报告确定的用地报批技术服务的最高投标限价</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lang w:val="en-US" w:eastAsia="zh-CN"/>
        </w:rPr>
        <w:t>计费</w:t>
      </w:r>
      <w:r>
        <w:rPr>
          <w:rFonts w:hint="eastAsia" w:ascii="宋体" w:hAnsi="宋体" w:eastAsia="宋体" w:cs="宋体"/>
          <w:color w:val="auto"/>
          <w:sz w:val="28"/>
          <w:szCs w:val="28"/>
          <w:highlight w:val="none"/>
        </w:rPr>
        <w:t>基数×</w:t>
      </w:r>
      <w:r>
        <w:rPr>
          <w:rFonts w:hint="eastAsia" w:ascii="宋体" w:hAnsi="宋体" w:eastAsia="宋体" w:cs="宋体"/>
          <w:color w:val="auto"/>
          <w:sz w:val="28"/>
          <w:szCs w:val="28"/>
          <w:highlight w:val="none"/>
          <w:lang w:eastAsia="zh-CN"/>
        </w:rPr>
        <w:t>咨询</w:t>
      </w:r>
      <w:r>
        <w:rPr>
          <w:rFonts w:hint="eastAsia" w:ascii="宋体" w:hAnsi="宋体" w:eastAsia="宋体" w:cs="宋体"/>
          <w:color w:val="auto"/>
          <w:sz w:val="28"/>
          <w:szCs w:val="28"/>
          <w:highlight w:val="none"/>
        </w:rPr>
        <w:t>服务费率×（1-</w:t>
      </w:r>
      <w:r>
        <w:rPr>
          <w:rFonts w:hint="eastAsia" w:ascii="宋体" w:hAnsi="宋体" w:eastAsia="宋体" w:cs="宋体"/>
          <w:color w:val="auto"/>
          <w:sz w:val="28"/>
          <w:szCs w:val="28"/>
          <w:highlight w:val="none"/>
          <w:lang w:val="en-US" w:eastAsia="zh-CN"/>
        </w:rPr>
        <w:t>下浮系数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none"/>
          <w:lang w:eastAsia="zh-CN"/>
        </w:rPr>
        <w:t>不足</w:t>
      </w:r>
      <w:r>
        <w:rPr>
          <w:rFonts w:hint="eastAsia" w:ascii="宋体" w:hAnsi="宋体" w:eastAsia="宋体" w:cs="宋体"/>
          <w:color w:val="auto"/>
          <w:sz w:val="28"/>
          <w:szCs w:val="28"/>
          <w:highlight w:val="none"/>
          <w:u w:val="none"/>
          <w:lang w:val="en-US" w:eastAsia="zh-CN"/>
        </w:rPr>
        <w:t>3000元的按3000元计费</w:t>
      </w:r>
      <w:r>
        <w:rPr>
          <w:rFonts w:hint="eastAsia" w:ascii="宋体" w:hAnsi="宋体" w:eastAsia="宋体" w:cs="宋体"/>
          <w:color w:val="auto"/>
          <w:sz w:val="28"/>
          <w:szCs w:val="28"/>
          <w:highlight w:val="none"/>
        </w:rPr>
        <w:t>。</w:t>
      </w:r>
    </w:p>
    <w:p w14:paraId="6FEF394F">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3.咨询费用为</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为完成本合同约定全部工作内容所需的全部费用，包括但不仅限于资料收集费、调研考察费、技术服务费、成果文件费、专家论证费、审核费、工作人员差旅费、利润、税金等服务过程中产生的一切费用。</w:t>
      </w:r>
    </w:p>
    <w:p w14:paraId="5EA64BD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五、支付方式</w:t>
      </w:r>
    </w:p>
    <w:p w14:paraId="2CCD7751">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1.服务费支付：</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完成本合同约定的所有工作内容并提交成果文件，经委托方认可后一次性支付合同总额的100%。款项支付前，</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应按照委托方的要求提交建设项目资金支出审批表、请款函及等额有效的增值税专用发票</w:t>
      </w:r>
      <w:r>
        <w:rPr>
          <w:rFonts w:hint="eastAsia" w:ascii="宋体" w:hAnsi="宋体" w:cs="宋体"/>
          <w:color w:val="auto"/>
          <w:sz w:val="28"/>
          <w:szCs w:val="28"/>
          <w:highlight w:val="none"/>
          <w:lang w:val="en-US" w:eastAsia="zh-CN"/>
        </w:rPr>
        <w:t>（小规模纳税人税率为3%，一般纳税人税率为6%）</w:t>
      </w:r>
      <w:r>
        <w:rPr>
          <w:rFonts w:hint="eastAsia" w:ascii="宋体" w:hAnsi="宋体" w:eastAsia="宋体" w:cs="宋体"/>
          <w:color w:val="auto"/>
          <w:sz w:val="28"/>
          <w:szCs w:val="28"/>
          <w:highlight w:val="none"/>
          <w:lang w:val="en-US" w:eastAsia="zh-CN"/>
        </w:rPr>
        <w:t>，否则</w:t>
      </w:r>
      <w:r>
        <w:rPr>
          <w:rFonts w:hint="eastAsia" w:ascii="宋体" w:hAnsi="宋体" w:cs="宋体"/>
          <w:color w:val="auto"/>
          <w:sz w:val="28"/>
          <w:szCs w:val="28"/>
          <w:highlight w:val="none"/>
          <w:lang w:val="en-US" w:eastAsia="zh-CN"/>
        </w:rPr>
        <w:t>委托方</w:t>
      </w:r>
      <w:r>
        <w:rPr>
          <w:rFonts w:hint="eastAsia" w:ascii="宋体" w:hAnsi="宋体" w:eastAsia="宋体" w:cs="宋体"/>
          <w:color w:val="auto"/>
          <w:sz w:val="28"/>
          <w:szCs w:val="28"/>
          <w:highlight w:val="none"/>
          <w:lang w:val="en-US" w:eastAsia="zh-CN"/>
        </w:rPr>
        <w:t xml:space="preserve">有权拒绝支付。    </w:t>
      </w:r>
    </w:p>
    <w:p w14:paraId="6B638B3E">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2.所有费用由委托方转账至</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对公账户。</w:t>
      </w:r>
    </w:p>
    <w:p w14:paraId="3BF4575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开户名称：</w:t>
      </w:r>
      <w:r>
        <w:rPr>
          <w:rFonts w:hint="eastAsia" w:ascii="宋体" w:hAnsi="宋体" w:eastAsia="宋体" w:cs="宋体"/>
          <w:color w:val="auto"/>
          <w:sz w:val="28"/>
          <w:szCs w:val="28"/>
          <w:highlight w:val="none"/>
          <w:u w:val="single"/>
          <w:lang w:val="en-US" w:eastAsia="zh-CN"/>
        </w:rPr>
        <w:t xml:space="preserve">                              </w:t>
      </w:r>
    </w:p>
    <w:p w14:paraId="3D15E85B">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开户银行：</w:t>
      </w:r>
      <w:r>
        <w:rPr>
          <w:rFonts w:hint="eastAsia" w:ascii="宋体" w:hAnsi="宋体" w:eastAsia="宋体" w:cs="宋体"/>
          <w:color w:val="auto"/>
          <w:sz w:val="28"/>
          <w:szCs w:val="28"/>
          <w:highlight w:val="none"/>
          <w:u w:val="single"/>
          <w:lang w:val="en-US" w:eastAsia="zh-CN"/>
        </w:rPr>
        <w:t xml:space="preserve">                              </w:t>
      </w:r>
    </w:p>
    <w:p w14:paraId="408AD4B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账    号：</w:t>
      </w:r>
      <w:r>
        <w:rPr>
          <w:rFonts w:hint="eastAsia" w:ascii="宋体" w:hAnsi="宋体" w:eastAsia="宋体" w:cs="宋体"/>
          <w:color w:val="auto"/>
          <w:sz w:val="28"/>
          <w:szCs w:val="28"/>
          <w:highlight w:val="none"/>
          <w:u w:val="single"/>
          <w:lang w:val="en-US" w:eastAsia="zh-CN"/>
        </w:rPr>
        <w:t xml:space="preserve">                              </w:t>
      </w:r>
    </w:p>
    <w:p w14:paraId="2594CDE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六、质量要求</w:t>
      </w:r>
    </w:p>
    <w:p w14:paraId="2F4C6D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需根据国家、自治区及地方自然资源部门关于建设项目永久用地和临时用地报批相关政策要求，完成的项目采购需求调查论证，调查论证内容详实且符合本项目</w:t>
      </w:r>
      <w:r>
        <w:rPr>
          <w:rFonts w:hint="eastAsia" w:ascii="宋体" w:hAnsi="宋体" w:eastAsia="宋体" w:cs="宋体"/>
          <w:color w:val="auto"/>
          <w:sz w:val="28"/>
          <w:szCs w:val="28"/>
          <w:highlight w:val="none"/>
          <w:lang w:val="zh-CN" w:eastAsia="zh-CN"/>
        </w:rPr>
        <w:t>建设用地报批</w:t>
      </w:r>
      <w:r>
        <w:rPr>
          <w:rFonts w:hint="eastAsia" w:ascii="宋体" w:hAnsi="宋体" w:eastAsia="宋体" w:cs="宋体"/>
          <w:color w:val="auto"/>
          <w:sz w:val="28"/>
          <w:szCs w:val="28"/>
          <w:highlight w:val="none"/>
          <w:lang w:val="en-US" w:eastAsia="zh-CN"/>
        </w:rPr>
        <w:t>技术质量要求；</w:t>
      </w:r>
    </w:p>
    <w:p w14:paraId="795FE18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2.采购预算咨询。技术服务费有计费依据的按照相关依据计算，并详细列明计算过程；没有计费依据的需向有能力提供相关服务的单位进行询价，</w:t>
      </w:r>
      <w:r>
        <w:rPr>
          <w:rFonts w:hint="eastAsia" w:ascii="宋体" w:hAnsi="宋体" w:cs="宋体"/>
          <w:color w:val="auto"/>
          <w:sz w:val="28"/>
          <w:szCs w:val="28"/>
          <w:highlight w:val="none"/>
          <w:lang w:val="en-US" w:eastAsia="zh-CN"/>
        </w:rPr>
        <w:t>合格的</w:t>
      </w:r>
      <w:r>
        <w:rPr>
          <w:rFonts w:hint="eastAsia" w:ascii="宋体" w:hAnsi="宋体" w:eastAsia="宋体" w:cs="宋体"/>
          <w:color w:val="auto"/>
          <w:sz w:val="28"/>
          <w:szCs w:val="28"/>
          <w:highlight w:val="none"/>
          <w:lang w:val="en-US" w:eastAsia="zh-CN"/>
        </w:rPr>
        <w:t>咨询对象不少于三家。报价应真实有效，报价结果应进行论证。</w:t>
      </w:r>
    </w:p>
    <w:p w14:paraId="00395BE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3.出具采购需求第三方调查论证报告，报告应经过相关专家论证，论证内容包含采购需求、预算价格、进度计划安排的合理性等。</w:t>
      </w:r>
    </w:p>
    <w:p w14:paraId="792ADC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4.成果文件应符合相关规定的要求，应附有项目采购需求调查及论证、采购预算咨询相关证明文件、专家论证结论、项目询价结论报告等内容。</w:t>
      </w:r>
    </w:p>
    <w:p w14:paraId="2781BE1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七、双方责任义务</w:t>
      </w:r>
    </w:p>
    <w:p w14:paraId="064225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（一）委托方责任义务</w:t>
      </w:r>
    </w:p>
    <w:p w14:paraId="658A797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(1)委托方在合同签订后需向咨询方提供项目立项、可研批复及其他等基础资料；</w:t>
      </w:r>
    </w:p>
    <w:p w14:paraId="17074B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(2)委托方需对所提供资料和数据的完整性、真实性、准确性、有效性负责；</w:t>
      </w:r>
    </w:p>
    <w:p w14:paraId="4A5347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(3)咨询方如需对项目现场进行勘查，委托方应提供工作便利；</w:t>
      </w:r>
    </w:p>
    <w:p w14:paraId="35E81BC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(4)委托方应按合同约定支付咨询服务费用。</w:t>
      </w:r>
    </w:p>
    <w:p w14:paraId="51126B2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（二）咨询方责任</w:t>
      </w:r>
    </w:p>
    <w:p w14:paraId="5F8876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(1)咨询方应按照国家、自治区及地方自然资源部门规定的有关技术标准、规范和合同约定的工作内容及委托方提供的项目基础资料提供咨询服务，按期交付结论资料，对结论资料质量和真实性负责；</w:t>
      </w:r>
    </w:p>
    <w:p w14:paraId="7DFD619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(2)咨询方应根据项目的实际情况及专业经验</w:t>
      </w:r>
      <w:r>
        <w:rPr>
          <w:rFonts w:hint="eastAsia" w:ascii="宋体" w:hAnsi="宋体" w:eastAsia="宋体" w:cs="宋体"/>
          <w:color w:val="auto"/>
          <w:sz w:val="28"/>
          <w:szCs w:val="28"/>
          <w:lang w:val="en-US" w:eastAsia="zh-CN"/>
        </w:rPr>
        <w:t>开展调查论证工作，以负责</w:t>
      </w:r>
      <w:r>
        <w:rPr>
          <w:rFonts w:hint="eastAsia" w:ascii="宋体" w:hAnsi="宋体" w:cs="宋体"/>
          <w:color w:val="auto"/>
          <w:sz w:val="28"/>
          <w:szCs w:val="28"/>
          <w:lang w:val="en-US" w:eastAsia="zh-CN"/>
        </w:rPr>
        <w:t>任</w:t>
      </w:r>
      <w:r>
        <w:rPr>
          <w:rFonts w:hint="eastAsia" w:ascii="宋体" w:hAnsi="宋体" w:eastAsia="宋体" w:cs="宋体"/>
          <w:color w:val="auto"/>
          <w:sz w:val="28"/>
          <w:szCs w:val="28"/>
          <w:lang w:val="en-US" w:eastAsia="zh-CN"/>
        </w:rPr>
        <w:t>的态度</w:t>
      </w:r>
      <w:r>
        <w:rPr>
          <w:rFonts w:hint="eastAsia" w:ascii="宋体" w:hAnsi="宋体" w:eastAsia="宋体" w:cs="宋体"/>
          <w:color w:val="auto"/>
          <w:sz w:val="28"/>
          <w:szCs w:val="28"/>
          <w:highlight w:val="none"/>
          <w:lang w:val="en-US" w:eastAsia="zh-CN"/>
        </w:rPr>
        <w:t>对结论资料中出现明显的遗漏或错误提醒告知委托方，并负责修改或补充；</w:t>
      </w:r>
    </w:p>
    <w:p w14:paraId="618640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lang w:val="en-US" w:eastAsia="zh-CN"/>
        </w:rPr>
        <w:t>应按照合同约定的时间完成咨询工作及提交成果文件。</w:t>
      </w:r>
    </w:p>
    <w:p w14:paraId="671FD29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八、违约责任</w:t>
      </w:r>
    </w:p>
    <w:p w14:paraId="15EC18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（一）委托方违约</w:t>
      </w:r>
    </w:p>
    <w:p w14:paraId="706567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1.委托方不能按时提供项目基础资料及相关文件或者提供基础资料不准确，导致咨询方无法按期开展工作的，咨询方有权要求按照延误的时间予以顺延。</w:t>
      </w:r>
    </w:p>
    <w:p w14:paraId="0328253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2.由于委托方提供的基础资料错误，造成咨询方工作返工重做，工期应给与顺延。</w:t>
      </w:r>
    </w:p>
    <w:p w14:paraId="5F4D9E9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3.委托方因故要求中途终止合同的，应及时书面通知咨询方。若咨询方已开展工作，委托方应按咨询方实际完成的工作量支付相应的费用。</w:t>
      </w:r>
    </w:p>
    <w:p w14:paraId="5D92450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4.委托方未按约定支付咨询服务费用的，从应付咨询费的次日起计算，每延误一天，向咨询方按应付费用的1‰支付违约金，最高不超过合同总价的</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val="en-US" w:eastAsia="zh-CN"/>
        </w:rPr>
        <w:t>%。</w:t>
      </w:r>
    </w:p>
    <w:p w14:paraId="53B5D74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val="en-US" w:eastAsia="zh-CN"/>
        </w:rPr>
        <w:t>委托方</w:t>
      </w:r>
      <w:r>
        <w:rPr>
          <w:rFonts w:hint="eastAsia" w:ascii="宋体" w:hAnsi="宋体" w:eastAsia="宋体" w:cs="宋体"/>
          <w:color w:val="auto"/>
          <w:sz w:val="28"/>
          <w:szCs w:val="28"/>
          <w:highlight w:val="none"/>
          <w:lang w:val="en-US" w:eastAsia="zh-CN"/>
        </w:rPr>
        <w:t>在规定时间内已向财政部门申请付款的，财政部门审批时间不计入付款时间，因审批原因造成推迟付款的，委托方不承担逾期付款责任。</w:t>
      </w:r>
    </w:p>
    <w:p w14:paraId="17BC9D0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（二）咨询方违约</w:t>
      </w:r>
    </w:p>
    <w:p w14:paraId="26795A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1.咨询方不得擅自转让其应履行的合同义务。</w:t>
      </w:r>
    </w:p>
    <w:p w14:paraId="702C08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2.咨询方所提供的服务质量或服务成果不合格的，应</w:t>
      </w:r>
      <w:r>
        <w:rPr>
          <w:rFonts w:hint="eastAsia" w:ascii="宋体" w:hAnsi="宋体" w:cs="宋体"/>
          <w:color w:val="auto"/>
          <w:sz w:val="28"/>
          <w:szCs w:val="28"/>
          <w:highlight w:val="none"/>
          <w:lang w:val="en-US" w:eastAsia="zh-CN"/>
        </w:rPr>
        <w:t>3日内完成</w:t>
      </w:r>
      <w:r>
        <w:rPr>
          <w:rFonts w:hint="eastAsia" w:ascii="宋体" w:hAnsi="宋体" w:eastAsia="宋体" w:cs="宋体"/>
          <w:color w:val="auto"/>
          <w:sz w:val="28"/>
          <w:szCs w:val="28"/>
          <w:highlight w:val="none"/>
          <w:lang w:val="en-US" w:eastAsia="zh-CN"/>
        </w:rPr>
        <w:t>调整，调整不及时的按逾期完成处罚，咨询方应向委托方支付合同金额5%违约金并赔偿委托方的经济损失。</w:t>
      </w:r>
    </w:p>
    <w:p w14:paraId="53F85CB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咨询方提供的成果文件质量不符合要求的，委托方认为存在夸大、虚报等严重不合理的情景，有权另请相关专家进行论证，如果专家论证结果确认存在夸大、虚报等严重不合理情况，相关评审费用由咨询方负责。委托方有权解除合同的，咨询方需承担因此给委托方造成的经济损失。</w:t>
      </w:r>
    </w:p>
    <w:p w14:paraId="49A35B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4.咨询方逾期提交成果文件的，每天向委托方偿付合同金额1‰违约金，违约金额不超过合同金额</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lang w:val="en-US" w:eastAsia="zh-CN"/>
        </w:rPr>
        <w:t>%，超过</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0天的，委托方有权解除合同。咨询方需承担因此给委托方造成的经济损失。</w:t>
      </w:r>
    </w:p>
    <w:p w14:paraId="22D1D16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九、争议解决</w:t>
      </w:r>
    </w:p>
    <w:p w14:paraId="1EE86B7F">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color w:val="auto"/>
          <w:sz w:val="28"/>
          <w:szCs w:val="28"/>
          <w:highlight w:val="none"/>
          <w:lang w:val="en-US" w:eastAsia="zh-CN"/>
        </w:rPr>
        <w:t>本合同未尽事宜，双方应本着实事求是友好协商的态度加以解决。双方协商一致的，签订补充协议，补充协议与本合同具有同等效力。</w:t>
      </w:r>
    </w:p>
    <w:p w14:paraId="0A0CB4A1">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调解</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如果双方不能在</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日内解决本合同争议，可以将其提交</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进行调解。</w:t>
      </w:r>
    </w:p>
    <w:p w14:paraId="5A61AB14">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bookmarkStart w:id="0" w:name="_Toc20050"/>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仲裁或诉讼</w:t>
      </w:r>
      <w:bookmarkEnd w:id="0"/>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合同争议的最终解决方式为下列第</w:t>
      </w:r>
      <w:r>
        <w:rPr>
          <w:rFonts w:hint="eastAsia" w:ascii="宋体" w:hAnsi="宋体" w:eastAsia="宋体" w:cs="宋体"/>
          <w:sz w:val="28"/>
          <w:szCs w:val="28"/>
          <w:highlight w:val="none"/>
          <w:u w:val="single"/>
        </w:rPr>
        <w:t>（2）</w:t>
      </w:r>
      <w:r>
        <w:rPr>
          <w:rFonts w:hint="eastAsia" w:ascii="宋体" w:hAnsi="宋体" w:eastAsia="宋体" w:cs="宋体"/>
          <w:sz w:val="28"/>
          <w:szCs w:val="28"/>
          <w:highlight w:val="none"/>
        </w:rPr>
        <w:t>种方式：</w:t>
      </w:r>
    </w:p>
    <w:p w14:paraId="3CAB3E36">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（1）提请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仲裁委员会进行仲裁。</w:t>
      </w:r>
    </w:p>
    <w:p w14:paraId="5A240771">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（2）向</w:t>
      </w:r>
      <w:r>
        <w:rPr>
          <w:rFonts w:hint="eastAsia" w:ascii="宋体" w:hAnsi="宋体" w:eastAsia="宋体" w:cs="宋体"/>
          <w:sz w:val="28"/>
          <w:szCs w:val="28"/>
          <w:highlight w:val="none"/>
          <w:u w:val="single"/>
        </w:rPr>
        <w:t>项目所在地人民法院</w:t>
      </w:r>
      <w:r>
        <w:rPr>
          <w:rFonts w:hint="eastAsia" w:ascii="宋体" w:hAnsi="宋体" w:eastAsia="宋体" w:cs="宋体"/>
          <w:sz w:val="28"/>
          <w:szCs w:val="28"/>
          <w:highlight w:val="none"/>
        </w:rPr>
        <w:t>提起诉讼。</w:t>
      </w:r>
    </w:p>
    <w:p w14:paraId="7AEE7988">
      <w:pPr>
        <w:pStyle w:val="12"/>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）诉讼期间，本合同继续履行。</w:t>
      </w:r>
    </w:p>
    <w:p w14:paraId="4579E34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w:t>
      </w:r>
      <w:r>
        <w:rPr>
          <w:rFonts w:hint="eastAsia" w:ascii="宋体" w:hAnsi="宋体" w:eastAsia="宋体" w:cs="宋体"/>
          <w:color w:val="auto"/>
          <w:sz w:val="28"/>
          <w:szCs w:val="28"/>
          <w:highlight w:val="none"/>
        </w:rPr>
        <w:t>、合同订立</w:t>
      </w:r>
    </w:p>
    <w:p w14:paraId="40AE1B15">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1.订立时间：</w:t>
      </w: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23AF64A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2.订立地点：</w:t>
      </w:r>
      <w:r>
        <w:rPr>
          <w:rFonts w:hint="eastAsia" w:ascii="宋体" w:hAnsi="宋体" w:eastAsia="宋体" w:cs="宋体"/>
          <w:color w:val="auto"/>
          <w:sz w:val="28"/>
          <w:szCs w:val="28"/>
          <w:highlight w:val="none"/>
          <w:u w:val="single"/>
        </w:rPr>
        <w:t>河池市</w:t>
      </w:r>
      <w:r>
        <w:rPr>
          <w:rFonts w:hint="eastAsia" w:ascii="宋体" w:hAnsi="宋体" w:eastAsia="宋体" w:cs="宋体"/>
          <w:color w:val="auto"/>
          <w:sz w:val="28"/>
          <w:szCs w:val="28"/>
          <w:highlight w:val="none"/>
          <w:u w:val="single"/>
          <w:lang w:val="en-US" w:eastAsia="zh-CN"/>
        </w:rPr>
        <w:t>金城江</w:t>
      </w:r>
      <w:r>
        <w:rPr>
          <w:rFonts w:hint="eastAsia" w:ascii="宋体" w:hAnsi="宋体" w:eastAsia="宋体" w:cs="宋体"/>
          <w:color w:val="auto"/>
          <w:sz w:val="28"/>
          <w:szCs w:val="28"/>
          <w:highlight w:val="none"/>
          <w:u w:val="single"/>
        </w:rPr>
        <w:t>区</w:t>
      </w:r>
      <w:r>
        <w:rPr>
          <w:rFonts w:hint="eastAsia" w:ascii="宋体" w:hAnsi="宋体" w:eastAsia="宋体" w:cs="宋体"/>
          <w:color w:val="auto"/>
          <w:sz w:val="28"/>
          <w:szCs w:val="28"/>
          <w:highlight w:val="none"/>
          <w:lang w:eastAsia="zh-CN"/>
        </w:rPr>
        <w:t>。</w:t>
      </w:r>
    </w:p>
    <w:p w14:paraId="6E70C6A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十、合同生效</w:t>
      </w:r>
    </w:p>
    <w:p w14:paraId="3ABC1CA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合同从签订之日起生效，至</w:t>
      </w:r>
      <w:r>
        <w:rPr>
          <w:rFonts w:hint="eastAsia" w:ascii="宋体" w:hAnsi="宋体" w:eastAsia="宋体" w:cs="宋体"/>
          <w:color w:val="auto"/>
          <w:sz w:val="28"/>
          <w:szCs w:val="28"/>
          <w:highlight w:val="none"/>
          <w:lang w:val="en-US" w:eastAsia="zh-CN"/>
        </w:rPr>
        <w:t>完成本合同约定的所有工作内容并提交成果文件，经委托方认可</w:t>
      </w:r>
      <w:r>
        <w:rPr>
          <w:rFonts w:hint="eastAsia" w:ascii="宋体" w:hAnsi="宋体" w:eastAsia="宋体" w:cs="宋体"/>
          <w:color w:val="auto"/>
          <w:sz w:val="28"/>
          <w:szCs w:val="28"/>
          <w:highlight w:val="none"/>
        </w:rPr>
        <w:t>为止。</w:t>
      </w:r>
    </w:p>
    <w:p w14:paraId="27535F59">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十一、其他</w:t>
      </w:r>
    </w:p>
    <w:p w14:paraId="5A69297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本合同一式肆份，具有同等法律效力，其中委托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执贰份，咨询</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执贰份。</w:t>
      </w:r>
    </w:p>
    <w:p w14:paraId="3087E3A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2.在本合同履行过程中，因国家、自治区出台相关政策、法规、文件，导致本合同约定的技术服务工作内容发生变化的，按新政策、法规、文件执行。</w:t>
      </w:r>
    </w:p>
    <w:p w14:paraId="276B233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实施过程中至咨询方正式向委托方交付技术文档资料时止，咨询方必须采取措施对本项目实施过程中的数据、源代码、技术文档等资料保密，否则，由于咨询方过错导致的上述资料泄密的，咨询方必须承担一切责任。项目完成后，委托方、咨询方双方均有责任对本项目的技术保密承担责任。</w:t>
      </w:r>
    </w:p>
    <w:p w14:paraId="328FFAA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经委托方事先书面同意，咨询方不得将由委托方为本合同提供的文件、计划、图纸、模型、样品或资料提供给与本合同无关的任何第三方，不得将其用于履行本合同之外的其它用途。即使向与履行本合同有关的人员提供，也应注意保密并限于履行合同所必需的范围。</w:t>
      </w:r>
    </w:p>
    <w:p w14:paraId="5E4564B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5.承包人的保密义务持续有效，不因为本合同履行终止、解除或者无效而解除。</w:t>
      </w:r>
    </w:p>
    <w:tbl>
      <w:tblPr>
        <w:tblStyle w:val="14"/>
        <w:tblpPr w:leftFromText="180" w:rightFromText="180" w:vertAnchor="text" w:horzAnchor="page" w:tblpX="1718" w:tblpY="356"/>
        <w:tblOverlap w:val="never"/>
        <w:tblW w:w="0" w:type="auto"/>
        <w:jc w:val="center"/>
        <w:tblLayout w:type="fixed"/>
        <w:tblCellMar>
          <w:top w:w="0" w:type="dxa"/>
          <w:left w:w="108" w:type="dxa"/>
          <w:bottom w:w="0" w:type="dxa"/>
          <w:right w:w="108" w:type="dxa"/>
        </w:tblCellMar>
      </w:tblPr>
      <w:tblGrid>
        <w:gridCol w:w="5065"/>
        <w:gridCol w:w="3600"/>
      </w:tblGrid>
      <w:tr w14:paraId="39A6EC0B">
        <w:tblPrEx>
          <w:tblCellMar>
            <w:top w:w="0" w:type="dxa"/>
            <w:left w:w="108" w:type="dxa"/>
            <w:bottom w:w="0" w:type="dxa"/>
            <w:right w:w="108" w:type="dxa"/>
          </w:tblCellMar>
        </w:tblPrEx>
        <w:trPr>
          <w:trHeight w:val="90" w:hRule="atLeast"/>
          <w:jc w:val="center"/>
        </w:trPr>
        <w:tc>
          <w:tcPr>
            <w:tcW w:w="5065" w:type="dxa"/>
            <w:noWrap w:val="0"/>
            <w:vAlign w:val="center"/>
          </w:tcPr>
          <w:p w14:paraId="570CA5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委托</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rPr>
              <w:t>(盖章)：</w:t>
            </w:r>
          </w:p>
        </w:tc>
        <w:tc>
          <w:tcPr>
            <w:tcW w:w="3600" w:type="dxa"/>
            <w:noWrap w:val="0"/>
            <w:vAlign w:val="center"/>
          </w:tcPr>
          <w:p w14:paraId="5C7C9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sz w:val="28"/>
                <w:szCs w:val="28"/>
                <w:highlight w:val="none"/>
                <w:lang w:val="en-US" w:eastAsia="zh-CN"/>
              </w:rPr>
              <w:t>咨询方</w:t>
            </w:r>
            <w:r>
              <w:rPr>
                <w:rFonts w:hint="eastAsia" w:ascii="宋体" w:hAnsi="宋体" w:eastAsia="宋体" w:cs="宋体"/>
                <w:color w:val="auto"/>
                <w:sz w:val="28"/>
                <w:szCs w:val="28"/>
                <w:highlight w:val="none"/>
              </w:rPr>
              <w:t>(盖章)：</w:t>
            </w:r>
          </w:p>
        </w:tc>
      </w:tr>
      <w:tr w14:paraId="287A8712">
        <w:tblPrEx>
          <w:tblCellMar>
            <w:top w:w="0" w:type="dxa"/>
            <w:left w:w="108" w:type="dxa"/>
            <w:bottom w:w="0" w:type="dxa"/>
            <w:right w:w="108" w:type="dxa"/>
          </w:tblCellMar>
        </w:tblPrEx>
        <w:trPr>
          <w:trHeight w:val="1126" w:hRule="atLeast"/>
          <w:jc w:val="center"/>
        </w:trPr>
        <w:tc>
          <w:tcPr>
            <w:tcW w:w="5065" w:type="dxa"/>
            <w:noWrap w:val="0"/>
            <w:vAlign w:val="center"/>
          </w:tcPr>
          <w:p w14:paraId="6B7B6D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4B51BF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授权代理人(签字或盖章)：</w:t>
            </w:r>
          </w:p>
        </w:tc>
        <w:tc>
          <w:tcPr>
            <w:tcW w:w="3600" w:type="dxa"/>
            <w:noWrap w:val="0"/>
            <w:vAlign w:val="center"/>
          </w:tcPr>
          <w:p w14:paraId="6F2D95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4F4864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授权代理人(签字或盖章)：</w:t>
            </w:r>
          </w:p>
        </w:tc>
      </w:tr>
      <w:tr w14:paraId="31154917">
        <w:tblPrEx>
          <w:tblCellMar>
            <w:top w:w="0" w:type="dxa"/>
            <w:left w:w="108" w:type="dxa"/>
            <w:bottom w:w="0" w:type="dxa"/>
            <w:right w:w="108" w:type="dxa"/>
          </w:tblCellMar>
        </w:tblPrEx>
        <w:trPr>
          <w:trHeight w:val="417" w:hRule="atLeast"/>
          <w:jc w:val="center"/>
        </w:trPr>
        <w:tc>
          <w:tcPr>
            <w:tcW w:w="5065" w:type="dxa"/>
            <w:noWrap w:val="0"/>
            <w:vAlign w:val="center"/>
          </w:tcPr>
          <w:p w14:paraId="7066A9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经 办 人：</w:t>
            </w:r>
          </w:p>
        </w:tc>
        <w:tc>
          <w:tcPr>
            <w:tcW w:w="3600" w:type="dxa"/>
            <w:noWrap w:val="0"/>
            <w:vAlign w:val="center"/>
          </w:tcPr>
          <w:p w14:paraId="0436C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联 系 人：</w:t>
            </w:r>
          </w:p>
        </w:tc>
      </w:tr>
      <w:tr w14:paraId="43943114">
        <w:tblPrEx>
          <w:tblCellMar>
            <w:top w:w="0" w:type="dxa"/>
            <w:left w:w="108" w:type="dxa"/>
            <w:bottom w:w="0" w:type="dxa"/>
            <w:right w:w="108" w:type="dxa"/>
          </w:tblCellMar>
        </w:tblPrEx>
        <w:trPr>
          <w:trHeight w:val="430" w:hRule="atLeast"/>
          <w:jc w:val="center"/>
        </w:trPr>
        <w:tc>
          <w:tcPr>
            <w:tcW w:w="5065" w:type="dxa"/>
            <w:noWrap w:val="0"/>
            <w:vAlign w:val="center"/>
          </w:tcPr>
          <w:p w14:paraId="722A1F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    话：</w:t>
            </w:r>
          </w:p>
        </w:tc>
        <w:tc>
          <w:tcPr>
            <w:tcW w:w="3600" w:type="dxa"/>
            <w:noWrap w:val="0"/>
            <w:vAlign w:val="center"/>
          </w:tcPr>
          <w:p w14:paraId="1A8D1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    话：</w:t>
            </w:r>
          </w:p>
        </w:tc>
      </w:tr>
      <w:tr w14:paraId="455426D7">
        <w:tblPrEx>
          <w:tblCellMar>
            <w:top w:w="0" w:type="dxa"/>
            <w:left w:w="108" w:type="dxa"/>
            <w:bottom w:w="0" w:type="dxa"/>
            <w:right w:w="108" w:type="dxa"/>
          </w:tblCellMar>
        </w:tblPrEx>
        <w:trPr>
          <w:trHeight w:val="404" w:hRule="atLeast"/>
          <w:jc w:val="center"/>
        </w:trPr>
        <w:tc>
          <w:tcPr>
            <w:tcW w:w="5065" w:type="dxa"/>
            <w:noWrap w:val="0"/>
            <w:vAlign w:val="center"/>
          </w:tcPr>
          <w:p w14:paraId="56D686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地    址：</w:t>
            </w:r>
          </w:p>
        </w:tc>
        <w:tc>
          <w:tcPr>
            <w:tcW w:w="3600" w:type="dxa"/>
            <w:noWrap w:val="0"/>
            <w:vAlign w:val="center"/>
          </w:tcPr>
          <w:p w14:paraId="7D99B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地    址：</w:t>
            </w:r>
          </w:p>
        </w:tc>
      </w:tr>
      <w:tr w14:paraId="19670B03">
        <w:tblPrEx>
          <w:tblCellMar>
            <w:top w:w="0" w:type="dxa"/>
            <w:left w:w="108" w:type="dxa"/>
            <w:bottom w:w="0" w:type="dxa"/>
            <w:right w:w="108" w:type="dxa"/>
          </w:tblCellMar>
        </w:tblPrEx>
        <w:trPr>
          <w:trHeight w:val="411" w:hRule="atLeast"/>
          <w:jc w:val="center"/>
        </w:trPr>
        <w:tc>
          <w:tcPr>
            <w:tcW w:w="5065" w:type="dxa"/>
            <w:noWrap w:val="0"/>
            <w:vAlign w:val="center"/>
          </w:tcPr>
          <w:p w14:paraId="1C3F12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电子邮箱：</w:t>
            </w:r>
          </w:p>
        </w:tc>
        <w:tc>
          <w:tcPr>
            <w:tcW w:w="3600" w:type="dxa"/>
            <w:noWrap w:val="0"/>
            <w:vAlign w:val="center"/>
          </w:tcPr>
          <w:p w14:paraId="386BFC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电子邮箱：</w:t>
            </w:r>
          </w:p>
        </w:tc>
      </w:tr>
      <w:tr w14:paraId="3FD82441">
        <w:tblPrEx>
          <w:tblCellMar>
            <w:top w:w="0" w:type="dxa"/>
            <w:left w:w="108" w:type="dxa"/>
            <w:bottom w:w="0" w:type="dxa"/>
            <w:right w:w="108" w:type="dxa"/>
          </w:tblCellMar>
        </w:tblPrEx>
        <w:trPr>
          <w:trHeight w:val="90" w:hRule="atLeast"/>
          <w:jc w:val="center"/>
        </w:trPr>
        <w:tc>
          <w:tcPr>
            <w:tcW w:w="5065" w:type="dxa"/>
            <w:noWrap w:val="0"/>
            <w:vAlign w:val="center"/>
          </w:tcPr>
          <w:p w14:paraId="3A22F7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开户名称：</w:t>
            </w:r>
          </w:p>
        </w:tc>
        <w:tc>
          <w:tcPr>
            <w:tcW w:w="3600" w:type="dxa"/>
            <w:noWrap w:val="0"/>
            <w:vAlign w:val="center"/>
          </w:tcPr>
          <w:p w14:paraId="646CA6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开户名称：</w:t>
            </w:r>
          </w:p>
        </w:tc>
      </w:tr>
      <w:tr w14:paraId="5C553E0B">
        <w:tblPrEx>
          <w:tblCellMar>
            <w:top w:w="0" w:type="dxa"/>
            <w:left w:w="108" w:type="dxa"/>
            <w:bottom w:w="0" w:type="dxa"/>
            <w:right w:w="108" w:type="dxa"/>
          </w:tblCellMar>
        </w:tblPrEx>
        <w:trPr>
          <w:trHeight w:val="440" w:hRule="atLeast"/>
          <w:jc w:val="center"/>
        </w:trPr>
        <w:tc>
          <w:tcPr>
            <w:tcW w:w="5065" w:type="dxa"/>
            <w:noWrap w:val="0"/>
            <w:vAlign w:val="center"/>
          </w:tcPr>
          <w:p w14:paraId="78ABC9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开户银行：</w:t>
            </w:r>
          </w:p>
        </w:tc>
        <w:tc>
          <w:tcPr>
            <w:tcW w:w="3600" w:type="dxa"/>
            <w:noWrap w:val="0"/>
            <w:vAlign w:val="center"/>
          </w:tcPr>
          <w:p w14:paraId="39027E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开户银行：</w:t>
            </w:r>
          </w:p>
        </w:tc>
      </w:tr>
      <w:tr w14:paraId="223100D6">
        <w:tblPrEx>
          <w:tblCellMar>
            <w:top w:w="0" w:type="dxa"/>
            <w:left w:w="108" w:type="dxa"/>
            <w:bottom w:w="0" w:type="dxa"/>
            <w:right w:w="108" w:type="dxa"/>
          </w:tblCellMar>
        </w:tblPrEx>
        <w:trPr>
          <w:trHeight w:val="90" w:hRule="atLeast"/>
          <w:jc w:val="center"/>
        </w:trPr>
        <w:tc>
          <w:tcPr>
            <w:tcW w:w="5065" w:type="dxa"/>
            <w:noWrap w:val="0"/>
            <w:vAlign w:val="center"/>
          </w:tcPr>
          <w:p w14:paraId="33C723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账    号：</w:t>
            </w:r>
          </w:p>
        </w:tc>
        <w:tc>
          <w:tcPr>
            <w:tcW w:w="3600" w:type="dxa"/>
            <w:noWrap w:val="0"/>
            <w:vAlign w:val="center"/>
          </w:tcPr>
          <w:p w14:paraId="1E2D19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账    号：</w:t>
            </w:r>
          </w:p>
        </w:tc>
      </w:tr>
      <w:tr w14:paraId="3B8CD118">
        <w:tblPrEx>
          <w:tblCellMar>
            <w:top w:w="0" w:type="dxa"/>
            <w:left w:w="108" w:type="dxa"/>
            <w:bottom w:w="0" w:type="dxa"/>
            <w:right w:w="108" w:type="dxa"/>
          </w:tblCellMar>
        </w:tblPrEx>
        <w:trPr>
          <w:trHeight w:val="490" w:hRule="atLeast"/>
          <w:jc w:val="center"/>
        </w:trPr>
        <w:tc>
          <w:tcPr>
            <w:tcW w:w="5065" w:type="dxa"/>
            <w:noWrap w:val="0"/>
            <w:vAlign w:val="center"/>
          </w:tcPr>
          <w:p w14:paraId="4366C4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社会信用代码：</w:t>
            </w:r>
          </w:p>
        </w:tc>
        <w:tc>
          <w:tcPr>
            <w:tcW w:w="3600" w:type="dxa"/>
            <w:noWrap w:val="0"/>
            <w:vAlign w:val="center"/>
          </w:tcPr>
          <w:p w14:paraId="38ECFD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rPr>
              <w:t>社会信用代码：</w:t>
            </w:r>
          </w:p>
        </w:tc>
      </w:tr>
      <w:tr w14:paraId="53BF2BF2">
        <w:tblPrEx>
          <w:tblCellMar>
            <w:top w:w="0" w:type="dxa"/>
            <w:left w:w="108" w:type="dxa"/>
            <w:bottom w:w="0" w:type="dxa"/>
            <w:right w:w="108" w:type="dxa"/>
          </w:tblCellMar>
        </w:tblPrEx>
        <w:trPr>
          <w:trHeight w:val="404" w:hRule="atLeast"/>
          <w:jc w:val="center"/>
        </w:trPr>
        <w:tc>
          <w:tcPr>
            <w:tcW w:w="8665" w:type="dxa"/>
            <w:gridSpan w:val="2"/>
            <w:noWrap w:val="0"/>
            <w:vAlign w:val="center"/>
          </w:tcPr>
          <w:p w14:paraId="36F8F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eastAsia="zh-CN"/>
              </w:rPr>
              <w:t>日期：</w:t>
            </w:r>
            <w:r>
              <w:rPr>
                <w:rFonts w:hint="eastAsia" w:ascii="宋体" w:hAnsi="宋体" w:eastAsia="宋体" w:cs="宋体"/>
                <w:color w:val="auto"/>
                <w:sz w:val="28"/>
                <w:szCs w:val="28"/>
                <w:highlight w:val="none"/>
                <w:lang w:val="en-US" w:eastAsia="zh-CN"/>
              </w:rPr>
              <w:t xml:space="preserve">  年  月  日</w:t>
            </w:r>
          </w:p>
        </w:tc>
      </w:tr>
    </w:tbl>
    <w:p w14:paraId="74724298">
      <w:pPr>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0196F596">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1EDF0AE2">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73B0DBB1">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1A3BFF3E">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2D70ABFB">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4BB42A0F">
      <w:pPr>
        <w:pStyle w:val="2"/>
        <w:keepNext w:val="0"/>
        <w:keepLines w:val="0"/>
        <w:pageBreakBefore w:val="0"/>
        <w:kinsoku/>
        <w:wordWrap/>
        <w:overflowPunct/>
        <w:topLinePunct w:val="0"/>
        <w:bidi w:val="0"/>
        <w:adjustRightInd/>
        <w:spacing w:line="600" w:lineRule="exact"/>
        <w:textAlignment w:val="auto"/>
        <w:rPr>
          <w:rFonts w:hint="eastAsia" w:ascii="宋体" w:hAnsi="宋体" w:eastAsia="宋体" w:cs="宋体"/>
          <w:sz w:val="28"/>
          <w:szCs w:val="28"/>
        </w:rPr>
      </w:pPr>
    </w:p>
    <w:p w14:paraId="4C8C03CD">
      <w:pPr>
        <w:keepNext w:val="0"/>
        <w:keepLines w:val="0"/>
        <w:pageBreakBefore w:val="0"/>
        <w:kinsoku/>
        <w:wordWrap/>
        <w:overflowPunct/>
        <w:topLinePunct w:val="0"/>
        <w:bidi w:val="0"/>
        <w:adjustRightInd/>
        <w:spacing w:before="44" w:line="6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附件1：廉政协议</w:t>
      </w:r>
    </w:p>
    <w:p w14:paraId="393BB492">
      <w:pPr>
        <w:keepNext w:val="0"/>
        <w:keepLines w:val="0"/>
        <w:pageBreakBefore w:val="0"/>
        <w:widowControl w:val="0"/>
        <w:kinsoku/>
        <w:wordWrap/>
        <w:overflowPunct/>
        <w:topLinePunct w:val="0"/>
        <w:autoSpaceDE/>
        <w:autoSpaceDN/>
        <w:bidi w:val="0"/>
        <w:adjustRightInd/>
        <w:spacing w:line="600" w:lineRule="exact"/>
        <w:ind w:right="1234"/>
        <w:jc w:val="center"/>
        <w:textAlignment w:val="auto"/>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b/>
          <w:sz w:val="52"/>
          <w:szCs w:val="52"/>
        </w:rPr>
        <w:t>廉政协议</w:t>
      </w:r>
    </w:p>
    <w:p w14:paraId="5AFEF8BC">
      <w:pPr>
        <w:pStyle w:val="4"/>
        <w:keepNext w:val="0"/>
        <w:keepLines w:val="0"/>
        <w:pageBreakBefore w:val="0"/>
        <w:widowControl w:val="0"/>
        <w:kinsoku/>
        <w:wordWrap/>
        <w:overflowPunct/>
        <w:topLinePunct w:val="0"/>
        <w:autoSpaceDE/>
        <w:autoSpaceDN/>
        <w:bidi w:val="0"/>
        <w:adjustRightInd/>
        <w:spacing w:line="600" w:lineRule="exact"/>
        <w:ind w:firstLine="544" w:firstLineChars="200"/>
        <w:jc w:val="both"/>
        <w:textAlignment w:val="auto"/>
        <w:rPr>
          <w:rFonts w:hint="eastAsia" w:ascii="宋体" w:hAnsi="宋体" w:eastAsia="宋体" w:cs="宋体"/>
          <w:spacing w:val="-4"/>
          <w:sz w:val="28"/>
          <w:szCs w:val="28"/>
          <w:lang w:eastAsia="zh-CN"/>
        </w:rPr>
      </w:pPr>
    </w:p>
    <w:p w14:paraId="42D839B8">
      <w:pPr>
        <w:pStyle w:val="4"/>
        <w:keepNext w:val="0"/>
        <w:keepLines w:val="0"/>
        <w:pageBreakBefore w:val="0"/>
        <w:widowControl w:val="0"/>
        <w:kinsoku/>
        <w:wordWrap/>
        <w:overflowPunct/>
        <w:topLinePunct w:val="0"/>
        <w:autoSpaceDE/>
        <w:autoSpaceDN/>
        <w:bidi w:val="0"/>
        <w:adjustRightInd/>
        <w:spacing w:line="560" w:lineRule="exact"/>
        <w:ind w:firstLine="544" w:firstLineChars="200"/>
        <w:jc w:val="both"/>
        <w:textAlignment w:val="auto"/>
        <w:rPr>
          <w:rFonts w:hint="eastAsia" w:ascii="宋体" w:hAnsi="宋体" w:eastAsia="宋体" w:cs="宋体"/>
          <w:sz w:val="28"/>
          <w:szCs w:val="28"/>
          <w:lang w:eastAsia="zh-CN"/>
        </w:rPr>
      </w:pPr>
      <w:r>
        <w:rPr>
          <w:rFonts w:hint="eastAsia" w:ascii="宋体" w:hAnsi="宋体" w:eastAsia="宋体" w:cs="宋体"/>
          <w:spacing w:val="-4"/>
          <w:sz w:val="28"/>
          <w:szCs w:val="28"/>
          <w:lang w:eastAsia="zh-CN"/>
        </w:rPr>
        <w:t>根据国家及水利部有关工程建设、廉政建设的规定，为做好工程建设中的党风廉政建设，保证</w:t>
      </w:r>
      <w:r>
        <w:rPr>
          <w:rFonts w:hint="eastAsia" w:ascii="宋体" w:hAnsi="宋体" w:eastAsia="宋体" w:cs="宋体"/>
          <w:spacing w:val="-2"/>
          <w:sz w:val="28"/>
          <w:szCs w:val="28"/>
          <w:lang w:eastAsia="zh-CN"/>
        </w:rPr>
        <w:t>工程建设高效优质，保证建设资金的安全和有效使用以及投资效益，</w:t>
      </w:r>
      <w:r>
        <w:rPr>
          <w:rFonts w:hint="eastAsia" w:ascii="宋体" w:hAnsi="宋体" w:eastAsia="宋体" w:cs="宋体"/>
          <w:spacing w:val="-2"/>
          <w:sz w:val="28"/>
          <w:szCs w:val="28"/>
          <w:u w:val="single"/>
          <w:lang w:eastAsia="zh-CN"/>
        </w:rPr>
        <w:t>河池市生态及资源投资开发有限公司</w:t>
      </w:r>
      <w:r>
        <w:rPr>
          <w:rFonts w:hint="eastAsia" w:ascii="宋体" w:hAnsi="宋体" w:eastAsia="宋体" w:cs="宋体"/>
          <w:spacing w:val="-2"/>
          <w:sz w:val="28"/>
          <w:szCs w:val="28"/>
          <w:lang w:eastAsia="zh-CN"/>
        </w:rPr>
        <w:t>（全称）</w:t>
      </w:r>
      <w:r>
        <w:rPr>
          <w:rFonts w:hint="eastAsia" w:ascii="宋体" w:hAnsi="宋体" w:eastAsia="宋体" w:cs="宋体"/>
          <w:spacing w:val="-2"/>
          <w:sz w:val="28"/>
          <w:szCs w:val="28"/>
          <w:lang w:val="en-US" w:eastAsia="zh-CN"/>
        </w:rPr>
        <w:t>(</w:t>
      </w:r>
      <w:r>
        <w:rPr>
          <w:rFonts w:hint="eastAsia" w:ascii="宋体" w:hAnsi="宋体" w:eastAsia="宋体" w:cs="宋体"/>
          <w:spacing w:val="-2"/>
          <w:sz w:val="28"/>
          <w:szCs w:val="28"/>
          <w:lang w:eastAsia="zh-CN"/>
        </w:rPr>
        <w:t>以下简称发包人）与</w:t>
      </w:r>
      <w:r>
        <w:rPr>
          <w:rFonts w:hint="eastAsia" w:ascii="宋体" w:hAnsi="宋体" w:eastAsia="宋体" w:cs="宋体"/>
          <w:spacing w:val="-2"/>
          <w:sz w:val="28"/>
          <w:szCs w:val="28"/>
          <w:u w:val="single"/>
          <w:lang w:eastAsia="zh-CN"/>
        </w:rPr>
        <w:t xml:space="preserve"> </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single"/>
          <w:lang w:eastAsia="zh-CN"/>
        </w:rPr>
        <w:t xml:space="preserve"> </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lang w:eastAsia="zh-CN"/>
        </w:rPr>
        <w:t xml:space="preserve">（全称）（以下简称承包人），特订立如下合同。 </w:t>
      </w:r>
    </w:p>
    <w:p w14:paraId="69A5BF35">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一、发包人的权利和义务 </w:t>
      </w:r>
    </w:p>
    <w:p w14:paraId="714ECE53">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（一）发包人的工作人员有责任向承包人介绍本单位有关廉洁从业的制度、规定。发包人的纪检监察人员有权对双方在招、投标及合同执行过程中的廉洁情况进行监督。 </w:t>
      </w:r>
    </w:p>
    <w:p w14:paraId="4B96866B">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（二）发包人的工作人员不得向承包人泄露招、投标中的商业秘密。 </w:t>
      </w:r>
    </w:p>
    <w:p w14:paraId="13405DAE">
      <w:pPr>
        <w:pStyle w:val="4"/>
        <w:keepNext w:val="0"/>
        <w:keepLines w:val="0"/>
        <w:pageBreakBefore w:val="0"/>
        <w:widowControl w:val="0"/>
        <w:tabs>
          <w:tab w:val="left" w:pos="819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pacing w:val="-1"/>
          <w:sz w:val="28"/>
          <w:szCs w:val="28"/>
          <w:lang w:eastAsia="zh-CN"/>
        </w:rPr>
        <w:t>发包人的工作人员在招、投标过程中以及合同执行过程中，不得以任何形式向承包人索取贿赂、收受回扣及好处费等；不得接受承包人馈赠的有价证券和贵重物品；不得让承包人报销任何费用；不得参加对执行公务有影响的娱乐活动和宴请；不得向承包人介绍家属或亲友从事与该项目有关的材料、设备供应和该项目分包等经济活动；不得要求承包人为其装修房子；不得要求承包人</w:t>
      </w:r>
      <w:r>
        <w:rPr>
          <w:rFonts w:hint="eastAsia" w:ascii="宋体" w:hAnsi="宋体" w:eastAsia="宋体" w:cs="宋体"/>
          <w:spacing w:val="-3"/>
          <w:sz w:val="28"/>
          <w:szCs w:val="28"/>
          <w:lang w:eastAsia="zh-CN"/>
        </w:rPr>
        <w:t>为亲属安排出境和国内旅游等；不得借婚丧嫁娶之机收受承包人的钱</w:t>
      </w:r>
      <w:r>
        <w:rPr>
          <w:rFonts w:hint="eastAsia" w:ascii="宋体" w:hAnsi="宋体" w:eastAsia="宋体" w:cs="宋体"/>
          <w:sz w:val="28"/>
          <w:szCs w:val="28"/>
          <w:lang w:eastAsia="zh-CN"/>
        </w:rPr>
        <w:t>（</w:t>
      </w:r>
      <w:r>
        <w:rPr>
          <w:rFonts w:hint="eastAsia" w:ascii="宋体" w:hAnsi="宋体" w:eastAsia="宋体" w:cs="宋体"/>
          <w:spacing w:val="-3"/>
          <w:sz w:val="28"/>
          <w:szCs w:val="28"/>
          <w:lang w:eastAsia="zh-CN"/>
        </w:rPr>
        <w:t>含有价证券</w:t>
      </w:r>
      <w:r>
        <w:rPr>
          <w:rFonts w:hint="eastAsia" w:ascii="宋体" w:hAnsi="宋体" w:eastAsia="宋体" w:cs="宋体"/>
          <w:spacing w:val="-108"/>
          <w:sz w:val="28"/>
          <w:szCs w:val="28"/>
          <w:lang w:eastAsia="zh-CN"/>
        </w:rPr>
        <w:t>）</w:t>
      </w:r>
      <w:r>
        <w:rPr>
          <w:rFonts w:hint="eastAsia" w:ascii="宋体" w:hAnsi="宋体" w:eastAsia="宋体" w:cs="宋体"/>
          <w:spacing w:val="-3"/>
          <w:sz w:val="28"/>
          <w:szCs w:val="28"/>
          <w:lang w:eastAsia="zh-CN"/>
        </w:rPr>
        <w:t>、物。</w:t>
      </w:r>
      <w:r>
        <w:rPr>
          <w:rFonts w:hint="eastAsia" w:ascii="宋体" w:hAnsi="宋体" w:eastAsia="宋体" w:cs="宋体"/>
          <w:sz w:val="28"/>
          <w:szCs w:val="28"/>
          <w:lang w:eastAsia="zh-CN"/>
        </w:rPr>
        <w:t xml:space="preserve"> </w:t>
      </w:r>
    </w:p>
    <w:p w14:paraId="3DAB396C">
      <w:pPr>
        <w:pStyle w:val="4"/>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w:t>
      </w:r>
      <w:r>
        <w:rPr>
          <w:rFonts w:hint="eastAsia" w:ascii="宋体" w:hAnsi="宋体" w:eastAsia="宋体" w:cs="宋体"/>
          <w:spacing w:val="-10"/>
          <w:sz w:val="28"/>
          <w:szCs w:val="28"/>
          <w:lang w:eastAsia="zh-CN"/>
        </w:rPr>
        <w:t>）</w:t>
      </w:r>
      <w:r>
        <w:rPr>
          <w:rFonts w:hint="eastAsia" w:ascii="宋体" w:hAnsi="宋体" w:eastAsia="宋体" w:cs="宋体"/>
          <w:spacing w:val="-4"/>
          <w:sz w:val="28"/>
          <w:szCs w:val="28"/>
          <w:lang w:eastAsia="zh-CN"/>
        </w:rPr>
        <w:t>对承包人主动给予的钱</w:t>
      </w:r>
      <w:r>
        <w:rPr>
          <w:rFonts w:hint="eastAsia" w:ascii="宋体" w:hAnsi="宋体" w:eastAsia="宋体" w:cs="宋体"/>
          <w:sz w:val="28"/>
          <w:szCs w:val="28"/>
          <w:lang w:eastAsia="zh-CN"/>
        </w:rPr>
        <w:t>（</w:t>
      </w:r>
      <w:r>
        <w:rPr>
          <w:rFonts w:hint="eastAsia" w:ascii="宋体" w:hAnsi="宋体" w:eastAsia="宋体" w:cs="宋体"/>
          <w:spacing w:val="-3"/>
          <w:sz w:val="28"/>
          <w:szCs w:val="28"/>
          <w:lang w:eastAsia="zh-CN"/>
        </w:rPr>
        <w:t>含有价证券</w:t>
      </w:r>
      <w:r>
        <w:rPr>
          <w:rFonts w:hint="eastAsia" w:ascii="宋体" w:hAnsi="宋体" w:eastAsia="宋体" w:cs="宋体"/>
          <w:spacing w:val="-108"/>
          <w:sz w:val="28"/>
          <w:szCs w:val="28"/>
          <w:lang w:eastAsia="zh-CN"/>
        </w:rPr>
        <w:t>）</w:t>
      </w:r>
      <w:r>
        <w:rPr>
          <w:rFonts w:hint="eastAsia" w:ascii="宋体" w:hAnsi="宋体" w:eastAsia="宋体" w:cs="宋体"/>
          <w:spacing w:val="-6"/>
          <w:sz w:val="28"/>
          <w:szCs w:val="28"/>
          <w:lang w:eastAsia="zh-CN"/>
        </w:rPr>
        <w:t>、物，发包人的工作人员要坚决谢绝，无法拒绝的</w:t>
      </w:r>
      <w:r>
        <w:rPr>
          <w:rFonts w:hint="eastAsia" w:ascii="宋体" w:hAnsi="宋体" w:eastAsia="宋体" w:cs="宋体"/>
          <w:spacing w:val="-4"/>
          <w:sz w:val="28"/>
          <w:szCs w:val="28"/>
          <w:lang w:eastAsia="zh-CN"/>
        </w:rPr>
        <w:t>要在两周内上交发包人的纪检监察部门或上级纪检监察部门。</w:t>
      </w:r>
      <w:r>
        <w:rPr>
          <w:rFonts w:hint="eastAsia" w:ascii="宋体" w:hAnsi="宋体" w:eastAsia="宋体" w:cs="宋体"/>
          <w:sz w:val="28"/>
          <w:szCs w:val="28"/>
          <w:lang w:eastAsia="zh-CN"/>
        </w:rPr>
        <w:t xml:space="preserve"> </w:t>
      </w:r>
    </w:p>
    <w:p w14:paraId="1D59F290">
      <w:pPr>
        <w:pStyle w:val="4"/>
        <w:keepNext w:val="0"/>
        <w:keepLines w:val="0"/>
        <w:pageBreakBefore w:val="0"/>
        <w:widowControl w:val="0"/>
        <w:tabs>
          <w:tab w:val="left" w:pos="798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pacing w:val="-3"/>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pacing w:val="-3"/>
          <w:sz w:val="28"/>
          <w:szCs w:val="28"/>
          <w:lang w:eastAsia="zh-CN"/>
        </w:rPr>
        <w:t>）发包人的工作人员在招标及执行合同过程中，必须遵守廉洁自律的其他有关规定。</w:t>
      </w:r>
    </w:p>
    <w:p w14:paraId="78852594">
      <w:pPr>
        <w:pStyle w:val="4"/>
        <w:keepNext w:val="0"/>
        <w:keepLines w:val="0"/>
        <w:pageBreakBefore w:val="0"/>
        <w:widowControl w:val="0"/>
        <w:tabs>
          <w:tab w:val="left" w:pos="7980"/>
        </w:tabs>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pacing w:val="-3"/>
          <w:sz w:val="28"/>
          <w:szCs w:val="28"/>
          <w:lang w:eastAsia="zh-CN"/>
        </w:rPr>
        <w:t>二、承包人的权利和义务</w:t>
      </w:r>
      <w:r>
        <w:rPr>
          <w:rFonts w:hint="eastAsia" w:ascii="宋体" w:hAnsi="宋体" w:eastAsia="宋体" w:cs="宋体"/>
          <w:b/>
          <w:bCs/>
          <w:sz w:val="28"/>
          <w:szCs w:val="28"/>
          <w:lang w:eastAsia="zh-CN"/>
        </w:rPr>
        <w:t xml:space="preserve"> </w:t>
      </w:r>
    </w:p>
    <w:p w14:paraId="21D93E92">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（一）承包人的纪检监察人员有权对双方在招、投标及合同执行过程中的廉洁从业情况进行监督，并积极配合发包人纪检监察工作人员就有关违纪问题进行调查取证。 </w:t>
      </w:r>
    </w:p>
    <w:p w14:paraId="16C11EA2">
      <w:pPr>
        <w:pStyle w:val="4"/>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（二）承包人有权了解发包人在廉洁从业方面的各项制度和规定，并主动配合发包人遵守执行。 </w:t>
      </w:r>
    </w:p>
    <w:p w14:paraId="312830FB">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（三）承包人的工作人员不得以任何方式向发包人的工作人员了解招投标中的商业秘密。 </w:t>
      </w:r>
    </w:p>
    <w:p w14:paraId="08AF3D56">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承包人的工作人员在投标过程及中标后的合同执行过程中，不得向发包人的工作人员行贿、提供回扣或其他好处费等；不得向发包人的工作人员馈赠有价证券和贵重物品；不得给发包人的工作人员报销任何费用；不得为发包人的工作人员购置或长期无偿提供交通工具、通讯工具、家电、办公用品等；不得邀请发包人的工作人员参加对执行公务有影响的娱乐活动和宴请；不得接受</w:t>
      </w:r>
      <w:r>
        <w:rPr>
          <w:rFonts w:hint="eastAsia" w:ascii="宋体" w:hAnsi="宋体" w:eastAsia="宋体" w:cs="宋体"/>
          <w:spacing w:val="-5"/>
          <w:sz w:val="28"/>
          <w:szCs w:val="28"/>
          <w:lang w:eastAsia="zh-CN"/>
        </w:rPr>
        <w:t>发包人的工作人员介绍的家属或亲友从事与该项目有关的材料、设备供应或该项目分包等经济活动； 不得为发包人的工作人员装修房子；不得为发包人的工作人员的亲属安排出境和国内旅游等；不得</w:t>
      </w:r>
      <w:r>
        <w:rPr>
          <w:rFonts w:hint="eastAsia" w:ascii="宋体" w:hAnsi="宋体" w:eastAsia="宋体" w:cs="宋体"/>
          <w:spacing w:val="-4"/>
          <w:sz w:val="28"/>
          <w:szCs w:val="28"/>
          <w:lang w:eastAsia="zh-CN"/>
        </w:rPr>
        <w:t>借婚丧嫁娶之机向发包人的工作人员赠送钱</w:t>
      </w:r>
      <w:r>
        <w:rPr>
          <w:rFonts w:hint="eastAsia" w:ascii="宋体" w:hAnsi="宋体" w:eastAsia="宋体" w:cs="宋体"/>
          <w:spacing w:val="-3"/>
          <w:sz w:val="28"/>
          <w:szCs w:val="28"/>
          <w:lang w:eastAsia="zh-CN"/>
        </w:rPr>
        <w:t>（含有价证券</w:t>
      </w:r>
      <w:r>
        <w:rPr>
          <w:rFonts w:hint="eastAsia" w:ascii="宋体" w:hAnsi="宋体" w:eastAsia="宋体" w:cs="宋体"/>
          <w:spacing w:val="-106"/>
          <w:sz w:val="28"/>
          <w:szCs w:val="28"/>
          <w:lang w:eastAsia="zh-CN"/>
        </w:rPr>
        <w:t>）</w:t>
      </w:r>
      <w:r>
        <w:rPr>
          <w:rFonts w:hint="eastAsia" w:ascii="宋体" w:hAnsi="宋体" w:eastAsia="宋体" w:cs="宋体"/>
          <w:spacing w:val="-3"/>
          <w:sz w:val="28"/>
          <w:szCs w:val="28"/>
          <w:lang w:eastAsia="zh-CN"/>
        </w:rPr>
        <w:t>、物。</w:t>
      </w:r>
      <w:r>
        <w:rPr>
          <w:rFonts w:hint="eastAsia" w:ascii="宋体" w:hAnsi="宋体" w:eastAsia="宋体" w:cs="宋体"/>
          <w:sz w:val="28"/>
          <w:szCs w:val="28"/>
          <w:lang w:eastAsia="zh-CN"/>
        </w:rPr>
        <w:t xml:space="preserve"> </w:t>
      </w:r>
    </w:p>
    <w:p w14:paraId="3C571B77">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pacing w:val="-25"/>
          <w:sz w:val="28"/>
          <w:szCs w:val="28"/>
          <w:lang w:eastAsia="zh-CN"/>
        </w:rPr>
        <w:t>）</w:t>
      </w:r>
      <w:r>
        <w:rPr>
          <w:rFonts w:hint="eastAsia" w:ascii="宋体" w:hAnsi="宋体" w:eastAsia="宋体" w:cs="宋体"/>
          <w:spacing w:val="-6"/>
          <w:sz w:val="28"/>
          <w:szCs w:val="28"/>
          <w:lang w:eastAsia="zh-CN"/>
        </w:rPr>
        <w:t>承包人发现发包人的工作人员有不廉洁的行为，必须在</w:t>
      </w:r>
      <w:r>
        <w:rPr>
          <w:rFonts w:hint="eastAsia" w:ascii="宋体" w:hAnsi="宋体" w:eastAsia="宋体" w:cs="宋体"/>
          <w:sz w:val="28"/>
          <w:szCs w:val="28"/>
          <w:lang w:eastAsia="zh-CN"/>
        </w:rPr>
        <w:t>48</w:t>
      </w:r>
      <w:r>
        <w:rPr>
          <w:rFonts w:hint="eastAsia" w:ascii="宋体" w:hAnsi="宋体" w:eastAsia="宋体" w:cs="宋体"/>
          <w:spacing w:val="-7"/>
          <w:sz w:val="28"/>
          <w:szCs w:val="28"/>
          <w:lang w:eastAsia="zh-CN"/>
        </w:rPr>
        <w:t>小时内署名报告发包人的纪检</w:t>
      </w:r>
      <w:r>
        <w:rPr>
          <w:rFonts w:hint="eastAsia" w:ascii="宋体" w:hAnsi="宋体" w:eastAsia="宋体" w:cs="宋体"/>
          <w:spacing w:val="-5"/>
          <w:sz w:val="28"/>
          <w:szCs w:val="28"/>
          <w:lang w:eastAsia="zh-CN"/>
        </w:rPr>
        <w:t>监察人员或有关领导。</w:t>
      </w:r>
      <w:r>
        <w:rPr>
          <w:rFonts w:hint="eastAsia" w:ascii="宋体" w:hAnsi="宋体" w:eastAsia="宋体" w:cs="宋体"/>
          <w:sz w:val="28"/>
          <w:szCs w:val="28"/>
          <w:lang w:eastAsia="zh-CN"/>
        </w:rPr>
        <w:t xml:space="preserve"> </w:t>
      </w:r>
    </w:p>
    <w:p w14:paraId="6977409D">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三、违约责任 </w:t>
      </w:r>
    </w:p>
    <w:p w14:paraId="2F1DA268">
      <w:pPr>
        <w:pStyle w:val="4"/>
        <w:keepNext w:val="0"/>
        <w:keepLines w:val="0"/>
        <w:pageBreakBefore w:val="0"/>
        <w:widowControl w:val="0"/>
        <w:tabs>
          <w:tab w:val="left" w:pos="9240"/>
        </w:tabs>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（一）发包人的工作人员违反廉洁责任，经调查属实的，依据有关规定给予党纪、政纪或组织处理；涉嫌犯罪的，移交司法机关追究刑事责任；给承包人造成经济损失的，应予以赔偿。 </w:t>
      </w:r>
    </w:p>
    <w:p w14:paraId="76BD2D57">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二）承包人工作人员违反廉洁责任，经调查属实，依据有关规定给予党纪、政纪组织处理；给发包人造成经济损失的，应予以赔偿；情节严重的，发包人将建议上级主管部门给予承包人一至三年内不得进入其主管的水利工程建设市场的处罚。 </w:t>
      </w:r>
    </w:p>
    <w:p w14:paraId="3D45A783">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四、合同的生效 </w:t>
      </w:r>
    </w:p>
    <w:p w14:paraId="6A79D2B2">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（一）本合同在双方签字盖章后即生效。 </w:t>
      </w:r>
    </w:p>
    <w:p w14:paraId="75A4E65E">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（二）本合同在主合同授予、履行的全过程有效，并作为主合同的附件，与</w:t>
      </w:r>
      <w:r>
        <w:rPr>
          <w:rFonts w:hint="eastAsia" w:ascii="宋体" w:hAnsi="宋体" w:eastAsia="宋体" w:cs="宋体"/>
          <w:sz w:val="28"/>
          <w:szCs w:val="28"/>
          <w:lang w:val="en-US" w:eastAsia="zh-CN"/>
        </w:rPr>
        <w:t>主</w:t>
      </w:r>
      <w:r>
        <w:rPr>
          <w:rFonts w:hint="eastAsia" w:ascii="宋体" w:hAnsi="宋体" w:eastAsia="宋体" w:cs="宋体"/>
          <w:sz w:val="28"/>
          <w:szCs w:val="28"/>
          <w:lang w:eastAsia="zh-CN"/>
        </w:rPr>
        <w:t xml:space="preserve">合同具有同等的法律效力。 </w:t>
      </w:r>
    </w:p>
    <w:p w14:paraId="6F6AC535">
      <w:pPr>
        <w:pStyle w:val="4"/>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pacing w:val="-3"/>
          <w:sz w:val="28"/>
          <w:szCs w:val="28"/>
          <w:lang w:eastAsia="zh-CN"/>
        </w:rPr>
        <w:t>）本合同一式</w:t>
      </w:r>
      <w:r>
        <w:rPr>
          <w:rFonts w:hint="eastAsia" w:ascii="宋体" w:hAnsi="宋体" w:eastAsia="宋体" w:cs="宋体"/>
          <w:b/>
          <w:bCs/>
          <w:spacing w:val="-3"/>
          <w:sz w:val="28"/>
          <w:szCs w:val="28"/>
          <w:u w:val="single"/>
          <w:lang w:val="en-US" w:eastAsia="zh-CN"/>
        </w:rPr>
        <w:t xml:space="preserve"> 捌 </w:t>
      </w:r>
      <w:r>
        <w:rPr>
          <w:rFonts w:hint="eastAsia" w:ascii="宋体" w:hAnsi="宋体" w:eastAsia="宋体" w:cs="宋体"/>
          <w:spacing w:val="-3"/>
          <w:sz w:val="28"/>
          <w:szCs w:val="28"/>
          <w:lang w:eastAsia="zh-CN"/>
        </w:rPr>
        <w:t>份，由双方各执</w:t>
      </w:r>
      <w:r>
        <w:rPr>
          <w:rFonts w:hint="eastAsia" w:ascii="宋体" w:hAnsi="宋体" w:eastAsia="宋体" w:cs="宋体"/>
          <w:b/>
          <w:bCs/>
          <w:sz w:val="28"/>
          <w:szCs w:val="28"/>
          <w:u w:val="single"/>
          <w:lang w:eastAsia="zh-CN"/>
        </w:rPr>
        <w:t xml:space="preserve"> </w:t>
      </w:r>
      <w:r>
        <w:rPr>
          <w:rFonts w:hint="eastAsia" w:ascii="宋体" w:hAnsi="宋体" w:eastAsia="宋体" w:cs="宋体"/>
          <w:b/>
          <w:bCs/>
          <w:sz w:val="28"/>
          <w:szCs w:val="28"/>
          <w:u w:val="single"/>
          <w:lang w:val="en-US" w:eastAsia="zh-CN"/>
        </w:rPr>
        <w:t>肆</w:t>
      </w:r>
      <w:r>
        <w:rPr>
          <w:rFonts w:hint="eastAsia" w:ascii="宋体" w:hAnsi="宋体" w:eastAsia="宋体" w:cs="宋体"/>
          <w:b/>
          <w:bCs/>
          <w:sz w:val="28"/>
          <w:szCs w:val="28"/>
          <w:u w:val="single"/>
          <w:lang w:eastAsia="zh-CN"/>
        </w:rPr>
        <w:t xml:space="preserve"> </w:t>
      </w:r>
      <w:r>
        <w:rPr>
          <w:rFonts w:hint="eastAsia" w:ascii="宋体" w:hAnsi="宋体" w:eastAsia="宋体" w:cs="宋体"/>
          <w:spacing w:val="-2"/>
          <w:sz w:val="28"/>
          <w:szCs w:val="28"/>
          <w:lang w:eastAsia="zh-CN"/>
        </w:rPr>
        <w:t xml:space="preserve">份。 </w:t>
      </w:r>
    </w:p>
    <w:p w14:paraId="64DA2145">
      <w:pPr>
        <w:pStyle w:val="4"/>
        <w:keepNext w:val="0"/>
        <w:keepLines w:val="0"/>
        <w:pageBreakBefore w:val="0"/>
        <w:widowControl w:val="0"/>
        <w:kinsoku/>
        <w:wordWrap/>
        <w:overflowPunct/>
        <w:topLinePunct w:val="0"/>
        <w:autoSpaceDE/>
        <w:autoSpaceDN/>
        <w:bidi w:val="0"/>
        <w:adjustRightInd/>
        <w:spacing w:before="72" w:line="560" w:lineRule="exact"/>
        <w:jc w:val="both"/>
        <w:textAlignment w:val="auto"/>
        <w:rPr>
          <w:rFonts w:hint="eastAsia" w:ascii="宋体" w:hAnsi="宋体" w:eastAsia="宋体" w:cs="宋体"/>
          <w:spacing w:val="-3"/>
          <w:sz w:val="28"/>
          <w:szCs w:val="28"/>
          <w:lang w:eastAsia="zh-CN"/>
        </w:rPr>
      </w:pPr>
    </w:p>
    <w:p w14:paraId="5772B227">
      <w:pPr>
        <w:pStyle w:val="4"/>
        <w:keepNext w:val="0"/>
        <w:keepLines w:val="0"/>
        <w:pageBreakBefore w:val="0"/>
        <w:widowControl w:val="0"/>
        <w:kinsoku/>
        <w:wordWrap/>
        <w:overflowPunct/>
        <w:topLinePunct w:val="0"/>
        <w:autoSpaceDE/>
        <w:autoSpaceDN/>
        <w:bidi w:val="0"/>
        <w:adjustRightInd/>
        <w:spacing w:before="72"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发包人（盖章）：</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0BB0F77A">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法定代表人或其授权代理人（签字或盖章）：</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777B311C">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日 期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 年</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月</w:t>
      </w:r>
      <w:r>
        <w:rPr>
          <w:rFonts w:hint="eastAsia" w:ascii="宋体" w:hAnsi="宋体" w:eastAsia="宋体" w:cs="宋体"/>
          <w:spacing w:val="-2"/>
          <w:sz w:val="28"/>
          <w:szCs w:val="28"/>
          <w:lang w:val="en-US" w:eastAsia="zh-CN"/>
        </w:rPr>
        <w:t xml:space="preserve">    日</w:t>
      </w:r>
      <w:r>
        <w:rPr>
          <w:rFonts w:hint="eastAsia" w:ascii="宋体" w:hAnsi="宋体" w:eastAsia="宋体" w:cs="宋体"/>
          <w:sz w:val="28"/>
          <w:szCs w:val="28"/>
          <w:lang w:eastAsia="zh-CN"/>
        </w:rPr>
        <w:t xml:space="preserve"> </w:t>
      </w:r>
    </w:p>
    <w:p w14:paraId="2F47DC60">
      <w:pPr>
        <w:pStyle w:val="4"/>
        <w:keepNext w:val="0"/>
        <w:keepLines w:val="0"/>
        <w:pageBreakBefore w:val="0"/>
        <w:widowControl w:val="0"/>
        <w:kinsoku/>
        <w:wordWrap/>
        <w:overflowPunct/>
        <w:topLinePunct w:val="0"/>
        <w:autoSpaceDE/>
        <w:autoSpaceDN/>
        <w:bidi w:val="0"/>
        <w:adjustRightInd/>
        <w:spacing w:before="139" w:line="560" w:lineRule="exact"/>
        <w:jc w:val="both"/>
        <w:textAlignment w:val="auto"/>
        <w:rPr>
          <w:rFonts w:hint="eastAsia" w:ascii="宋体" w:hAnsi="宋体" w:eastAsia="宋体" w:cs="宋体"/>
          <w:spacing w:val="-3"/>
          <w:sz w:val="28"/>
          <w:szCs w:val="28"/>
          <w:lang w:eastAsia="zh-CN"/>
        </w:rPr>
      </w:pPr>
    </w:p>
    <w:p w14:paraId="514F500C">
      <w:pPr>
        <w:pStyle w:val="4"/>
        <w:keepNext w:val="0"/>
        <w:keepLines w:val="0"/>
        <w:pageBreakBefore w:val="0"/>
        <w:widowControl w:val="0"/>
        <w:kinsoku/>
        <w:wordWrap/>
        <w:overflowPunct/>
        <w:topLinePunct w:val="0"/>
        <w:autoSpaceDE/>
        <w:autoSpaceDN/>
        <w:bidi w:val="0"/>
        <w:adjustRightInd/>
        <w:spacing w:before="139"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承包人（盖章）：</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2"/>
          <w:sz w:val="28"/>
          <w:szCs w:val="28"/>
          <w:u w:val="single"/>
          <w:lang w:eastAsia="zh-CN"/>
        </w:rPr>
        <w:t xml:space="preserve"> </w:t>
      </w:r>
      <w:r>
        <w:rPr>
          <w:rFonts w:hint="eastAsia" w:ascii="宋体" w:hAnsi="宋体" w:eastAsia="宋体" w:cs="宋体"/>
          <w:spacing w:val="-3"/>
          <w:sz w:val="28"/>
          <w:szCs w:val="28"/>
          <w:lang w:eastAsia="zh-CN"/>
        </w:rPr>
        <w:t xml:space="preserve"> </w:t>
      </w:r>
      <w:r>
        <w:rPr>
          <w:rFonts w:hint="eastAsia" w:ascii="宋体" w:hAnsi="宋体" w:eastAsia="宋体" w:cs="宋体"/>
          <w:sz w:val="28"/>
          <w:szCs w:val="28"/>
          <w:lang w:eastAsia="zh-CN"/>
        </w:rPr>
        <w:t xml:space="preserve"> </w:t>
      </w:r>
    </w:p>
    <w:p w14:paraId="0F42AF2D">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法定代表人或其授权代理人（签字或盖章）：</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pacing w:val="-3"/>
          <w:sz w:val="28"/>
          <w:szCs w:val="28"/>
          <w:u w:val="single"/>
          <w:lang w:eastAsia="zh-CN"/>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z w:val="28"/>
          <w:szCs w:val="28"/>
          <w:lang w:eastAsia="zh-CN"/>
        </w:rPr>
        <w:t xml:space="preserve"> </w:t>
      </w:r>
    </w:p>
    <w:p w14:paraId="2BE848A2">
      <w:pPr>
        <w:pStyle w:val="4"/>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28"/>
          <w:szCs w:val="28"/>
          <w:highlight w:val="none"/>
        </w:rPr>
      </w:pPr>
      <w:r>
        <w:rPr>
          <w:rFonts w:hint="eastAsia" w:ascii="宋体" w:hAnsi="宋体" w:eastAsia="宋体" w:cs="宋体"/>
          <w:spacing w:val="-2"/>
          <w:sz w:val="28"/>
          <w:szCs w:val="28"/>
          <w:lang w:eastAsia="zh-CN"/>
        </w:rPr>
        <w:t>日 期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 xml:space="preserve">年 </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月</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lang w:eastAsia="zh-CN"/>
        </w:rPr>
        <w:t>日</w:t>
      </w:r>
    </w:p>
    <w:sectPr>
      <w:headerReference r:id="rId5" w:type="default"/>
      <w:footerReference r:id="rId6" w:type="default"/>
      <w:pgSz w:w="11906" w:h="16838"/>
      <w:pgMar w:top="2098"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D73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180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1180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A821">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Times New Roman" w:hAnsi="Times New Roman" w:eastAsia="宋体" w:cs="Times New Roman"/>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1E2136">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- 1 -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61E2136">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- 1 -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D76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1D8C5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1D8C5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243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B4018"/>
    <w:multiLevelType w:val="singleLevel"/>
    <w:tmpl w:val="713B4018"/>
    <w:lvl w:ilvl="0" w:tentative="0">
      <w:start w:val="1"/>
      <w:numFmt w:val="upperLetter"/>
      <w:pStyle w:val="3"/>
      <w:lvlText w:val="%1."/>
      <w:lvlJc w:val="left"/>
      <w:pPr>
        <w:tabs>
          <w:tab w:val="left"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jFiOTE4ODE3NzkwYzI2N2I4MjBiMWUzOTkxMmIifQ=="/>
  </w:docVars>
  <w:rsids>
    <w:rsidRoot w:val="48FF3C91"/>
    <w:rsid w:val="006E05BE"/>
    <w:rsid w:val="019D6487"/>
    <w:rsid w:val="039D18E6"/>
    <w:rsid w:val="051536FE"/>
    <w:rsid w:val="09664528"/>
    <w:rsid w:val="0A930267"/>
    <w:rsid w:val="0BB16AED"/>
    <w:rsid w:val="0C02770D"/>
    <w:rsid w:val="0CB36442"/>
    <w:rsid w:val="0F5C08A7"/>
    <w:rsid w:val="10CB73B7"/>
    <w:rsid w:val="10E30B54"/>
    <w:rsid w:val="122B3E5E"/>
    <w:rsid w:val="1362690C"/>
    <w:rsid w:val="152F4368"/>
    <w:rsid w:val="15C50828"/>
    <w:rsid w:val="164C7EB4"/>
    <w:rsid w:val="16F94C2D"/>
    <w:rsid w:val="177249E0"/>
    <w:rsid w:val="18A961DF"/>
    <w:rsid w:val="1A553FC9"/>
    <w:rsid w:val="1A954C6D"/>
    <w:rsid w:val="1AF20311"/>
    <w:rsid w:val="1DDC7057"/>
    <w:rsid w:val="1ECC0FCA"/>
    <w:rsid w:val="1F2056A8"/>
    <w:rsid w:val="2214132D"/>
    <w:rsid w:val="22156A2E"/>
    <w:rsid w:val="225F463E"/>
    <w:rsid w:val="24855D52"/>
    <w:rsid w:val="26733805"/>
    <w:rsid w:val="27D36DD5"/>
    <w:rsid w:val="28727C37"/>
    <w:rsid w:val="28885E11"/>
    <w:rsid w:val="2AEB4DE3"/>
    <w:rsid w:val="2B2161B7"/>
    <w:rsid w:val="2B801021"/>
    <w:rsid w:val="2BDE4BCF"/>
    <w:rsid w:val="2C5524AE"/>
    <w:rsid w:val="2D8E7B01"/>
    <w:rsid w:val="30B07AA3"/>
    <w:rsid w:val="317A456E"/>
    <w:rsid w:val="3251196A"/>
    <w:rsid w:val="34594B05"/>
    <w:rsid w:val="34FD5B31"/>
    <w:rsid w:val="354371A2"/>
    <w:rsid w:val="35F20D6E"/>
    <w:rsid w:val="363B44C3"/>
    <w:rsid w:val="379D4231"/>
    <w:rsid w:val="390C2146"/>
    <w:rsid w:val="39662B65"/>
    <w:rsid w:val="39763A64"/>
    <w:rsid w:val="3A900B55"/>
    <w:rsid w:val="3AF70BD4"/>
    <w:rsid w:val="3C025A83"/>
    <w:rsid w:val="3C246C55"/>
    <w:rsid w:val="3D9F7A2D"/>
    <w:rsid w:val="3E201425"/>
    <w:rsid w:val="3F3B5533"/>
    <w:rsid w:val="40414DCB"/>
    <w:rsid w:val="42966EC0"/>
    <w:rsid w:val="42C768A4"/>
    <w:rsid w:val="42DA1507"/>
    <w:rsid w:val="42DE4B54"/>
    <w:rsid w:val="431A4CA1"/>
    <w:rsid w:val="43370050"/>
    <w:rsid w:val="43D55C7F"/>
    <w:rsid w:val="462F56C6"/>
    <w:rsid w:val="4847426C"/>
    <w:rsid w:val="48FF3C91"/>
    <w:rsid w:val="4B552F6F"/>
    <w:rsid w:val="541128AF"/>
    <w:rsid w:val="55FE3146"/>
    <w:rsid w:val="56293EE0"/>
    <w:rsid w:val="58FD3402"/>
    <w:rsid w:val="5AB02E22"/>
    <w:rsid w:val="5C0827EA"/>
    <w:rsid w:val="5E0B036F"/>
    <w:rsid w:val="5E5134FC"/>
    <w:rsid w:val="5EFB027D"/>
    <w:rsid w:val="5F7206A6"/>
    <w:rsid w:val="5FE32FC0"/>
    <w:rsid w:val="60B60A66"/>
    <w:rsid w:val="615D6EDF"/>
    <w:rsid w:val="6166423A"/>
    <w:rsid w:val="63E678B4"/>
    <w:rsid w:val="649A2064"/>
    <w:rsid w:val="67416616"/>
    <w:rsid w:val="67D02713"/>
    <w:rsid w:val="68894210"/>
    <w:rsid w:val="6C6770B8"/>
    <w:rsid w:val="6CBA68B3"/>
    <w:rsid w:val="6EBC7B8F"/>
    <w:rsid w:val="6FA36659"/>
    <w:rsid w:val="746A5998"/>
    <w:rsid w:val="746C7962"/>
    <w:rsid w:val="769E7B7B"/>
    <w:rsid w:val="770A73A3"/>
    <w:rsid w:val="77D47CF8"/>
    <w:rsid w:val="78EE4DE9"/>
    <w:rsid w:val="7AA5797C"/>
    <w:rsid w:val="7AC758F2"/>
    <w:rsid w:val="7E4F7BDA"/>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numPr>
        <w:ilvl w:val="0"/>
        <w:numId w:val="1"/>
      </w:numPr>
      <w:spacing w:line="360" w:lineRule="auto"/>
      <w:outlineLvl w:val="1"/>
    </w:pPr>
    <w:rPr>
      <w:b/>
      <w:sz w:val="24"/>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unhideWhenUsed/>
    <w:qFormat/>
    <w:uiPriority w:val="0"/>
    <w:pPr>
      <w:ind w:firstLine="640" w:firstLineChars="200"/>
    </w:pPr>
    <w:rPr>
      <w:kern w:val="0"/>
      <w:sz w:val="32"/>
    </w:rPr>
  </w:style>
  <w:style w:type="paragraph" w:styleId="6">
    <w:name w:val="Plain Text"/>
    <w:basedOn w:val="1"/>
    <w:qFormat/>
    <w:uiPriority w:val="0"/>
    <w:rPr>
      <w:rFonts w:ascii="宋体" w:hAnsi="Courier New"/>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semiHidden/>
    <w:qFormat/>
    <w:uiPriority w:val="0"/>
    <w:pPr>
      <w:ind w:left="210"/>
      <w:jc w:val="left"/>
    </w:pPr>
    <w:rPr>
      <w:rFonts w:ascii="Times New Roman" w:hAnsi="Times New Roman"/>
      <w:smallCaps/>
      <w:sz w:val="20"/>
    </w:rPr>
  </w:style>
  <w:style w:type="paragraph" w:styleId="9">
    <w:name w:val="Normal (Web)"/>
    <w:basedOn w:val="1"/>
    <w:qFormat/>
    <w:uiPriority w:val="0"/>
    <w:pPr>
      <w:jc w:val="left"/>
    </w:pPr>
    <w:rPr>
      <w:kern w:val="0"/>
      <w:sz w:val="24"/>
    </w:rPr>
  </w:style>
  <w:style w:type="paragraph" w:styleId="10">
    <w:name w:val="Body Text First Indent"/>
    <w:basedOn w:val="11"/>
    <w:qFormat/>
    <w:uiPriority w:val="0"/>
    <w:pPr>
      <w:spacing w:after="120"/>
      <w:ind w:firstLine="420" w:firstLineChars="100"/>
    </w:pPr>
    <w:rPr>
      <w:rFonts w:ascii="Times New Roman" w:hAnsi="Times New Roman" w:eastAsia="仿宋"/>
    </w:rPr>
  </w:style>
  <w:style w:type="paragraph" w:customStyle="1" w:styleId="11">
    <w:name w:val="正文文本_0"/>
    <w:basedOn w:val="12"/>
    <w:qFormat/>
    <w:uiPriority w:val="0"/>
    <w:pPr>
      <w:spacing w:after="120" w:afterLines="0"/>
    </w:pPr>
  </w:style>
  <w:style w:type="paragraph" w:customStyle="1" w:styleId="12">
    <w:name w:val="正文_0"/>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qFormat/>
    <w:uiPriority w:val="0"/>
    <w:pPr>
      <w:widowControl w:val="0"/>
      <w:tabs>
        <w:tab w:val="left" w:pos="0"/>
        <w:tab w:val="left" w:pos="993"/>
        <w:tab w:val="left" w:pos="1134"/>
      </w:tabs>
      <w:ind w:firstLine="420"/>
      <w:jc w:val="both"/>
    </w:pPr>
    <w:rPr>
      <w:rFonts w:ascii="Times New Roman" w:hAnsi="Times New Roman" w:eastAsia="宋体" w:cs="Times New Roman"/>
      <w:kern w:val="2"/>
      <w:sz w:val="21"/>
      <w:szCs w:val="24"/>
      <w:lang w:val="en-US" w:eastAsia="zh-CN" w:bidi="ar-SA"/>
    </w:rPr>
  </w:style>
  <w:style w:type="paragraph" w:customStyle="1" w:styleId="16">
    <w:name w:val="引言二级条标题"/>
    <w:basedOn w:val="17"/>
    <w:next w:val="18"/>
    <w:qFormat/>
    <w:uiPriority w:val="0"/>
    <w:pPr>
      <w:ind w:left="0" w:firstLine="0"/>
    </w:pPr>
    <w:rPr>
      <w:rFonts w:eastAsia="宋体"/>
    </w:rPr>
  </w:style>
  <w:style w:type="paragraph" w:customStyle="1" w:styleId="17">
    <w:name w:val="引言一级条标题"/>
    <w:basedOn w:val="1"/>
    <w:next w:val="18"/>
    <w:qFormat/>
    <w:uiPriority w:val="0"/>
    <w:pPr>
      <w:widowControl/>
      <w:spacing w:beforeAutospacing="1" w:afterAutospacing="1"/>
      <w:ind w:left="900" w:hanging="900"/>
    </w:pPr>
    <w:rPr>
      <w:rFonts w:eastAsia="黑体"/>
      <w:b/>
      <w:bCs/>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6810</Words>
  <Characters>7144</Characters>
  <Lines>0</Lines>
  <Paragraphs>0</Paragraphs>
  <TotalTime>0</TotalTime>
  <ScaleCrop>false</ScaleCrop>
  <LinksUpToDate>false</LinksUpToDate>
  <CharactersWithSpaces>7743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2022-01-11T01:42:00Z</dcterms:created>
  <dc:creator>WPS_1035742416</dc:creator>
  <cp:lastModifiedBy>运营公司</cp:lastModifiedBy>
  <cp:lastPrinted>2022-05-18T07:11:00Z</cp:lastPrinted>
  <dcterms:modified xsi:type="dcterms:W3CDTF">2025-03-03T10:09:37Z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023076F1581244E2ABDD43BA745A3B3F</vt:lpwstr>
  </property>
  <property fmtid="{D5CDD505-2E9C-101B-9397-08002B2CF9AE}" pid="4" name="KSOTemplateDocerSaveRecord">
    <vt:lpwstr>eyJoZGlkIjoiMGExN2ZlMWQ0NzhiMjFkOTA2NTM0MGE1MDE1Njg5OGEiLCJ1c2VySWQiOiIxMzkwMzA1OTY1In0=</vt:lpwstr>
  </property>
</Properties>
</file>