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7A9BF">
      <w:pPr>
        <w:spacing w:line="560" w:lineRule="exact"/>
        <w:rPr>
          <w:rFonts w:hint="eastAsia" w:ascii="黑体" w:hAnsi="黑体" w:eastAsia="黑体" w:cs="黑体"/>
          <w:color w:val="auto"/>
          <w:sz w:val="32"/>
          <w:szCs w:val="32"/>
          <w:highlight w:val="none"/>
          <w:lang w:val="en-US" w:eastAsia="zh-CN"/>
        </w:rPr>
      </w:pPr>
      <w:bookmarkStart w:id="17" w:name="_GoBack"/>
      <w:bookmarkEnd w:id="17"/>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 xml:space="preserve">1  </w:t>
      </w:r>
    </w:p>
    <w:p w14:paraId="20836767">
      <w:pPr>
        <w:spacing w:line="560" w:lineRule="exact"/>
        <w:jc w:val="center"/>
        <w:rPr>
          <w:rFonts w:ascii="方正小标宋简体" w:eastAsia="方正小标宋简体"/>
          <w:bCs/>
          <w:color w:val="auto"/>
          <w:sz w:val="44"/>
          <w:szCs w:val="44"/>
          <w:highlight w:val="none"/>
        </w:rPr>
      </w:pPr>
      <w:r>
        <w:rPr>
          <w:rFonts w:hint="eastAsia" w:ascii="方正小标宋简体" w:eastAsia="方正小标宋简体"/>
          <w:bCs/>
          <w:color w:val="auto"/>
          <w:sz w:val="44"/>
          <w:szCs w:val="44"/>
          <w:highlight w:val="none"/>
        </w:rPr>
        <w:t>报价表</w:t>
      </w:r>
    </w:p>
    <w:p w14:paraId="0795D6B5">
      <w:pPr>
        <w:spacing w:line="560" w:lineRule="exact"/>
        <w:jc w:val="left"/>
        <w:rPr>
          <w:rFonts w:ascii="宋体" w:hAnsi="宋体"/>
          <w:color w:val="auto"/>
          <w:sz w:val="44"/>
          <w:szCs w:val="44"/>
          <w:highlight w:val="none"/>
        </w:rPr>
      </w:pPr>
    </w:p>
    <w:p w14:paraId="59CB3329">
      <w:pPr>
        <w:pStyle w:val="9"/>
        <w:rPr>
          <w:rFonts w:ascii="宋体" w:hAnsi="宋体"/>
          <w:color w:val="auto"/>
          <w:sz w:val="44"/>
          <w:szCs w:val="44"/>
          <w:highlight w:val="none"/>
        </w:rPr>
      </w:pPr>
    </w:p>
    <w:p w14:paraId="75998385">
      <w:pPr>
        <w:pStyle w:val="9"/>
        <w:rPr>
          <w:rFonts w:ascii="宋体" w:hAnsi="宋体"/>
          <w:color w:val="auto"/>
          <w:sz w:val="44"/>
          <w:szCs w:val="44"/>
          <w:highlight w:val="none"/>
        </w:rPr>
      </w:pPr>
    </w:p>
    <w:p w14:paraId="6D99EBCB">
      <w:pPr>
        <w:spacing w:line="560" w:lineRule="exact"/>
        <w:jc w:val="left"/>
        <w:rPr>
          <w:rFonts w:ascii="仿宋_GB2312" w:hAnsi="仿宋" w:eastAsia="仿宋_GB2312"/>
          <w:color w:val="auto"/>
          <w:sz w:val="32"/>
          <w:szCs w:val="32"/>
          <w:highlight w:val="none"/>
          <w:u w:val="single"/>
        </w:rPr>
      </w:pPr>
      <w:r>
        <w:rPr>
          <w:rFonts w:hint="eastAsia" w:ascii="仿宋_GB2312" w:hAnsi="仿宋" w:eastAsia="仿宋_GB2312"/>
          <w:color w:val="auto"/>
          <w:sz w:val="32"/>
          <w:szCs w:val="32"/>
          <w:highlight w:val="none"/>
          <w:lang w:val="en-US" w:eastAsia="zh-CN"/>
        </w:rPr>
        <w:t>投标</w:t>
      </w:r>
      <w:r>
        <w:rPr>
          <w:rFonts w:hint="eastAsia" w:ascii="仿宋_GB2312" w:hAnsi="仿宋" w:eastAsia="仿宋_GB2312"/>
          <w:color w:val="auto"/>
          <w:sz w:val="32"/>
          <w:szCs w:val="32"/>
          <w:highlight w:val="none"/>
        </w:rPr>
        <w:t>单位</w:t>
      </w:r>
      <w:r>
        <w:rPr>
          <w:rFonts w:hint="eastAsia" w:ascii="仿宋_GB2312" w:hAnsi="仿宋" w:eastAsia="仿宋_GB2312"/>
          <w:color w:val="auto"/>
          <w:sz w:val="32"/>
          <w:szCs w:val="32"/>
          <w:highlight w:val="none"/>
          <w:lang w:val="en-US" w:eastAsia="zh-CN"/>
        </w:rPr>
        <w:t>名称</w:t>
      </w:r>
      <w:r>
        <w:rPr>
          <w:rFonts w:hint="eastAsia" w:ascii="仿宋_GB2312" w:hAnsi="仿宋" w:eastAsia="仿宋_GB2312"/>
          <w:color w:val="auto"/>
          <w:sz w:val="32"/>
          <w:szCs w:val="32"/>
          <w:highlight w:val="none"/>
        </w:rPr>
        <w:t>（公章）：</w:t>
      </w:r>
      <w:r>
        <w:rPr>
          <w:rFonts w:hint="eastAsia" w:ascii="仿宋_GB2312" w:hAnsi="仿宋" w:eastAsia="仿宋_GB2312"/>
          <w:color w:val="auto"/>
          <w:sz w:val="32"/>
          <w:szCs w:val="32"/>
          <w:highlight w:val="none"/>
          <w:u w:val="single"/>
        </w:rPr>
        <w:t xml:space="preserve">                                </w:t>
      </w:r>
    </w:p>
    <w:p w14:paraId="7CC2B427">
      <w:pPr>
        <w:spacing w:line="560" w:lineRule="exact"/>
        <w:jc w:val="left"/>
        <w:rPr>
          <w:rFonts w:ascii="仿宋_GB2312" w:hAnsi="仿宋" w:eastAsia="仿宋_GB2312"/>
          <w:color w:val="auto"/>
          <w:sz w:val="32"/>
          <w:szCs w:val="32"/>
          <w:highlight w:val="none"/>
        </w:rPr>
      </w:pPr>
    </w:p>
    <w:p w14:paraId="0FC2F2CA">
      <w:pPr>
        <w:spacing w:line="600" w:lineRule="exact"/>
        <w:ind w:left="1600" w:hanging="1600" w:hangingChars="500"/>
        <w:jc w:val="left"/>
        <w:rPr>
          <w:rStyle w:val="26"/>
          <w:rFonts w:hint="eastAsia" w:ascii="仿宋_GB2312" w:hAnsi="仿宋_GB2312" w:eastAsia="仿宋_GB2312" w:cs="仿宋_GB2312"/>
          <w:b w:val="0"/>
          <w:i w:val="0"/>
          <w:caps w:val="0"/>
          <w:color w:val="auto"/>
          <w:spacing w:val="0"/>
          <w:w w:val="100"/>
          <w:kern w:val="2"/>
          <w:sz w:val="32"/>
          <w:szCs w:val="32"/>
          <w:u w:val="single"/>
          <w:lang w:val="en-US" w:eastAsia="zh-CN" w:bidi="ar-SA"/>
        </w:rPr>
      </w:pPr>
      <w:r>
        <w:rPr>
          <w:rFonts w:hint="eastAsia" w:ascii="仿宋_GB2312" w:hAnsi="仿宋" w:eastAsia="仿宋_GB2312"/>
          <w:color w:val="auto"/>
          <w:sz w:val="32"/>
          <w:szCs w:val="32"/>
          <w:highlight w:val="none"/>
        </w:rPr>
        <w:t>项目名称：</w:t>
      </w:r>
      <w:r>
        <w:rPr>
          <w:rStyle w:val="26"/>
          <w:rFonts w:hint="eastAsia" w:ascii="仿宋_GB2312" w:hAnsi="仿宋_GB2312" w:eastAsia="仿宋_GB2312" w:cs="仿宋_GB2312"/>
          <w:b w:val="0"/>
          <w:i w:val="0"/>
          <w:caps w:val="0"/>
          <w:color w:val="auto"/>
          <w:spacing w:val="0"/>
          <w:w w:val="100"/>
          <w:kern w:val="2"/>
          <w:sz w:val="32"/>
          <w:szCs w:val="32"/>
          <w:u w:val="single"/>
          <w:lang w:val="en-US" w:eastAsia="zh-CN" w:bidi="ar-SA"/>
        </w:rPr>
        <w:t>河池市城乡建设投资集团有限公司及河池市城市投资建设发展有限公司主体信用评级</w:t>
      </w:r>
    </w:p>
    <w:p w14:paraId="065D7AA4">
      <w:pPr>
        <w:spacing w:line="600" w:lineRule="exact"/>
        <w:ind w:left="1600" w:hanging="1600" w:hangingChars="500"/>
        <w:jc w:val="left"/>
        <w:rPr>
          <w:rStyle w:val="26"/>
          <w:rFonts w:hint="eastAsia" w:ascii="仿宋_GB2312" w:hAnsi="仿宋_GB2312" w:eastAsia="仿宋_GB2312" w:cs="仿宋_GB2312"/>
          <w:b w:val="0"/>
          <w:i w:val="0"/>
          <w:caps w:val="0"/>
          <w:color w:val="auto"/>
          <w:spacing w:val="0"/>
          <w:w w:val="100"/>
          <w:kern w:val="2"/>
          <w:sz w:val="32"/>
          <w:szCs w:val="32"/>
          <w:u w:val="single"/>
          <w:lang w:val="en-US" w:eastAsia="zh-CN" w:bidi="ar-SA"/>
        </w:rPr>
      </w:pPr>
    </w:p>
    <w:p w14:paraId="0E8C76B4">
      <w:pPr>
        <w:spacing w:line="560" w:lineRule="exact"/>
        <w:rPr>
          <w:rFonts w:hint="eastAsia" w:ascii="仿宋_GB2312" w:hAnsi="仿宋_GB2312" w:eastAsia="仿宋_GB2312" w:cs="仿宋_GB2312"/>
          <w:i w:val="0"/>
          <w:iCs w:val="0"/>
          <w:caps w:val="0"/>
          <w:color w:val="auto"/>
          <w:spacing w:val="0"/>
          <w:sz w:val="32"/>
          <w:szCs w:val="32"/>
          <w:highlight w:val="none"/>
          <w:u w:val="single"/>
          <w:shd w:val="clear" w:fill="FFFFFF"/>
          <w:lang w:val="en-US" w:eastAsia="zh-CN"/>
        </w:rPr>
      </w:pPr>
      <w:r>
        <w:rPr>
          <w:rFonts w:hint="eastAsia" w:ascii="仿宋_GB2312" w:hAnsi="仿宋" w:eastAsia="仿宋_GB2312"/>
          <w:color w:val="auto"/>
          <w:sz w:val="32"/>
          <w:szCs w:val="32"/>
          <w:highlight w:val="none"/>
          <w:lang w:val="en-US" w:eastAsia="zh-CN"/>
        </w:rPr>
        <w:t>项目编号：</w:t>
      </w:r>
      <w:r>
        <w:rPr>
          <w:rFonts w:hint="eastAsia" w:ascii="仿宋_GB2312" w:hAnsi="仿宋_GB2312" w:eastAsia="仿宋_GB2312" w:cs="仿宋_GB2312"/>
          <w:i w:val="0"/>
          <w:iCs w:val="0"/>
          <w:caps w:val="0"/>
          <w:color w:val="auto"/>
          <w:spacing w:val="0"/>
          <w:sz w:val="32"/>
          <w:szCs w:val="32"/>
          <w:highlight w:val="none"/>
          <w:u w:val="single"/>
          <w:shd w:val="clear" w:fill="FFFFFF"/>
        </w:rPr>
        <w:t>HCCT202400</w:t>
      </w:r>
      <w:r>
        <w:rPr>
          <w:rFonts w:hint="eastAsia" w:ascii="仿宋_GB2312" w:hAnsi="仿宋_GB2312" w:eastAsia="仿宋_GB2312" w:cs="仿宋_GB2312"/>
          <w:i w:val="0"/>
          <w:iCs w:val="0"/>
          <w:caps w:val="0"/>
          <w:color w:val="auto"/>
          <w:spacing w:val="0"/>
          <w:sz w:val="32"/>
          <w:szCs w:val="32"/>
          <w:highlight w:val="none"/>
          <w:u w:val="single"/>
          <w:shd w:val="clear" w:fill="FFFFFF"/>
          <w:lang w:val="en-US" w:eastAsia="zh-CN"/>
        </w:rPr>
        <w:t>55号</w:t>
      </w:r>
    </w:p>
    <w:p w14:paraId="2DEC8C71">
      <w:pPr>
        <w:spacing w:line="560" w:lineRule="exact"/>
        <w:rPr>
          <w:rFonts w:hint="eastAsia" w:ascii="黑体" w:hAnsi="黑体" w:eastAsia="黑体" w:cs="黑体"/>
          <w:color w:val="auto"/>
          <w:sz w:val="32"/>
          <w:szCs w:val="32"/>
          <w:highlight w:val="none"/>
          <w:lang w:val="en-US" w:eastAsia="zh-CN"/>
        </w:rPr>
      </w:pPr>
    </w:p>
    <w:p w14:paraId="06763163">
      <w:pPr>
        <w:spacing w:line="560" w:lineRule="exact"/>
        <w:rPr>
          <w:rFonts w:hint="eastAsia" w:ascii="黑体" w:hAnsi="黑体" w:eastAsia="黑体" w:cs="黑体"/>
          <w:color w:val="auto"/>
          <w:sz w:val="32"/>
          <w:szCs w:val="32"/>
          <w:highlight w:val="none"/>
          <w:lang w:val="en-US" w:eastAsia="zh-CN"/>
        </w:rPr>
      </w:pPr>
    </w:p>
    <w:p w14:paraId="32591DAB">
      <w:pPr>
        <w:spacing w:line="56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报价费率：</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w:t>
      </w:r>
    </w:p>
    <w:p w14:paraId="5EFF4C32">
      <w:pPr>
        <w:spacing w:line="560" w:lineRule="exact"/>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14:paraId="7A6FAE6D">
      <w:pPr>
        <w:spacing w:line="560" w:lineRule="exact"/>
        <w:rPr>
          <w:rFonts w:hint="eastAsia" w:ascii="黑体" w:hAnsi="黑体" w:eastAsia="黑体" w:cs="黑体"/>
          <w:color w:val="auto"/>
          <w:sz w:val="32"/>
          <w:szCs w:val="32"/>
          <w:highlight w:val="none"/>
          <w:lang w:val="en-US" w:eastAsia="zh-CN"/>
        </w:rPr>
      </w:pPr>
    </w:p>
    <w:p w14:paraId="71376D07">
      <w:pPr>
        <w:spacing w:line="560" w:lineRule="exact"/>
        <w:rPr>
          <w:rFonts w:hint="eastAsia" w:ascii="黑体" w:hAnsi="黑体" w:eastAsia="黑体" w:cs="黑体"/>
          <w:color w:val="auto"/>
          <w:sz w:val="32"/>
          <w:szCs w:val="32"/>
          <w:highlight w:val="none"/>
          <w:lang w:val="en-US" w:eastAsia="zh-CN"/>
        </w:rPr>
      </w:pPr>
    </w:p>
    <w:p w14:paraId="12E5EBE1">
      <w:pPr>
        <w:rPr>
          <w:rFonts w:hint="eastAsia"/>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注：</w:t>
      </w:r>
      <w:r>
        <w:rPr>
          <w:rFonts w:hint="eastAsia" w:ascii="仿宋" w:hAnsi="仿宋" w:eastAsia="仿宋" w:cs="仿宋"/>
          <w:b/>
          <w:bCs/>
          <w:color w:val="auto"/>
          <w:sz w:val="24"/>
          <w:szCs w:val="24"/>
          <w:highlight w:val="none"/>
          <w:lang w:val="en-US" w:eastAsia="zh-CN"/>
        </w:rPr>
        <w:t>有效报价：0&lt;报价费率&lt;100%为有效报价</w:t>
      </w:r>
    </w:p>
    <w:p w14:paraId="4AF5679E">
      <w:pPr>
        <w:spacing w:line="560" w:lineRule="exact"/>
        <w:rPr>
          <w:rFonts w:hint="eastAsia" w:ascii="黑体" w:hAnsi="黑体" w:eastAsia="黑体" w:cs="黑体"/>
          <w:color w:val="auto"/>
          <w:sz w:val="32"/>
          <w:szCs w:val="32"/>
          <w:highlight w:val="none"/>
          <w:lang w:val="en-US" w:eastAsia="zh-CN"/>
        </w:rPr>
      </w:pPr>
    </w:p>
    <w:p w14:paraId="1AB31B3D">
      <w:pPr>
        <w:spacing w:line="560" w:lineRule="exact"/>
        <w:rPr>
          <w:rFonts w:hint="eastAsia" w:ascii="黑体" w:hAnsi="黑体" w:eastAsia="黑体" w:cs="黑体"/>
          <w:color w:val="auto"/>
          <w:sz w:val="32"/>
          <w:szCs w:val="32"/>
          <w:highlight w:val="none"/>
          <w:lang w:val="en-US" w:eastAsia="zh-CN"/>
        </w:rPr>
      </w:pPr>
    </w:p>
    <w:p w14:paraId="04F7DA6E">
      <w:pPr>
        <w:spacing w:line="560" w:lineRule="exact"/>
        <w:rPr>
          <w:rFonts w:hint="eastAsia" w:ascii="黑体" w:hAnsi="黑体" w:eastAsia="黑体" w:cs="黑体"/>
          <w:color w:val="auto"/>
          <w:sz w:val="32"/>
          <w:szCs w:val="32"/>
          <w:highlight w:val="none"/>
          <w:lang w:val="en-US" w:eastAsia="zh-CN"/>
        </w:rPr>
      </w:pPr>
    </w:p>
    <w:p w14:paraId="323AC1DC">
      <w:pPr>
        <w:spacing w:line="560" w:lineRule="exact"/>
        <w:rPr>
          <w:rFonts w:hint="eastAsia" w:ascii="黑体" w:hAnsi="黑体" w:eastAsia="黑体" w:cs="黑体"/>
          <w:color w:val="auto"/>
          <w:sz w:val="32"/>
          <w:szCs w:val="32"/>
          <w:highlight w:val="none"/>
          <w:lang w:val="en-US" w:eastAsia="zh-CN"/>
        </w:rPr>
      </w:pPr>
    </w:p>
    <w:p w14:paraId="503E5198">
      <w:pPr>
        <w:spacing w:line="560" w:lineRule="exact"/>
        <w:rPr>
          <w:rFonts w:hint="eastAsia" w:ascii="黑体" w:hAnsi="黑体" w:eastAsia="黑体" w:cs="黑体"/>
          <w:color w:val="auto"/>
          <w:sz w:val="32"/>
          <w:szCs w:val="32"/>
          <w:highlight w:val="none"/>
          <w:lang w:val="en-US" w:eastAsia="zh-CN"/>
        </w:rPr>
      </w:pPr>
    </w:p>
    <w:p w14:paraId="05A437E6">
      <w:pPr>
        <w:spacing w:line="560" w:lineRule="exac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附件2        </w:t>
      </w:r>
    </w:p>
    <w:p w14:paraId="64A5FE51">
      <w:pPr>
        <w:spacing w:line="560" w:lineRule="exact"/>
        <w:ind w:firstLine="2560" w:firstLineChars="8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合同条款及格式</w:t>
      </w:r>
    </w:p>
    <w:p w14:paraId="349CFB15">
      <w:pPr>
        <w:keepNext w:val="0"/>
        <w:keepLines w:val="0"/>
        <w:widowControl w:val="0"/>
        <w:suppressLineNumbers w:val="0"/>
        <w:pBdr>
          <w:top w:val="none" w:color="auto" w:sz="0" w:space="0"/>
          <w:left w:val="none" w:color="auto" w:sz="0" w:space="0"/>
          <w:bottom w:val="none" w:color="auto" w:sz="0" w:space="0"/>
          <w:right w:val="none" w:color="auto" w:sz="0" w:space="0"/>
        </w:pBdr>
        <w:spacing w:before="120" w:beforeAutospacing="0" w:after="120" w:afterAutospacing="0" w:line="460" w:lineRule="exact"/>
        <w:ind w:left="0" w:right="600" w:firstLine="6120" w:firstLineChars="2550"/>
        <w:jc w:val="both"/>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合同编号：</w:t>
      </w:r>
    </w:p>
    <w:p w14:paraId="2B6BAEC7">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7770"/>
        </w:tabs>
        <w:spacing w:before="120" w:beforeAutospacing="0" w:after="120" w:afterAutospacing="0" w:line="460" w:lineRule="exact"/>
        <w:ind w:left="0" w:right="0"/>
        <w:jc w:val="both"/>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ab/>
      </w:r>
    </w:p>
    <w:p w14:paraId="57475546">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7770"/>
        </w:tabs>
        <w:spacing w:before="120" w:beforeAutospacing="0" w:after="120" w:afterAutospacing="0" w:line="460" w:lineRule="exact"/>
        <w:ind w:left="0" w:right="0"/>
        <w:jc w:val="both"/>
        <w:rPr>
          <w:rFonts w:hint="eastAsia" w:ascii="仿宋" w:hAnsi="仿宋" w:eastAsia="仿宋" w:cs="仿宋"/>
          <w:color w:val="auto"/>
          <w:sz w:val="24"/>
          <w:szCs w:val="20"/>
          <w:lang w:val="en-US"/>
        </w:rPr>
      </w:pPr>
    </w:p>
    <w:p w14:paraId="70DEDB41">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7770"/>
        </w:tabs>
        <w:spacing w:before="120" w:beforeAutospacing="0" w:after="120" w:afterAutospacing="0" w:line="460" w:lineRule="exact"/>
        <w:ind w:left="0" w:right="0"/>
        <w:jc w:val="both"/>
        <w:rPr>
          <w:rFonts w:hint="eastAsia" w:ascii="仿宋" w:hAnsi="仿宋" w:eastAsia="仿宋" w:cs="仿宋"/>
          <w:color w:val="auto"/>
          <w:sz w:val="24"/>
          <w:szCs w:val="20"/>
          <w:lang w:val="en-US"/>
        </w:rPr>
      </w:pPr>
    </w:p>
    <w:p w14:paraId="09C86837">
      <w:pPr>
        <w:keepNext w:val="0"/>
        <w:keepLines w:val="0"/>
        <w:widowControl w:val="0"/>
        <w:suppressLineNumbers w:val="0"/>
        <w:pBdr>
          <w:top w:val="none" w:color="auto" w:sz="0" w:space="0"/>
          <w:left w:val="none" w:color="auto" w:sz="0" w:space="0"/>
          <w:bottom w:val="none" w:color="auto" w:sz="0" w:space="0"/>
          <w:right w:val="none" w:color="auto" w:sz="0" w:space="0"/>
        </w:pBdr>
        <w:spacing w:before="120" w:beforeAutospacing="0" w:after="120" w:afterAutospacing="0" w:line="460" w:lineRule="exact"/>
        <w:ind w:left="0" w:right="0"/>
        <w:jc w:val="center"/>
        <w:rPr>
          <w:rFonts w:hint="eastAsia" w:ascii="仿宋" w:hAnsi="仿宋" w:eastAsia="仿宋" w:cs="仿宋"/>
          <w:b/>
          <w:bCs w:val="0"/>
          <w:color w:val="auto"/>
          <w:sz w:val="44"/>
          <w:szCs w:val="20"/>
          <w:lang w:val="en-US"/>
        </w:rPr>
      </w:pPr>
      <w:r>
        <w:rPr>
          <w:rFonts w:hint="eastAsia" w:ascii="仿宋" w:hAnsi="仿宋" w:eastAsia="仿宋" w:cs="仿宋"/>
          <w:b/>
          <w:bCs w:val="0"/>
          <w:color w:val="auto"/>
          <w:kern w:val="2"/>
          <w:sz w:val="44"/>
          <w:szCs w:val="20"/>
          <w:lang w:val="en-US" w:eastAsia="zh-CN" w:bidi="ar"/>
        </w:rPr>
        <w:t>信用评级委托合同</w:t>
      </w:r>
    </w:p>
    <w:p w14:paraId="68CC3029">
      <w:pPr>
        <w:keepNext w:val="0"/>
        <w:keepLines w:val="0"/>
        <w:widowControl w:val="0"/>
        <w:suppressLineNumbers w:val="0"/>
        <w:pBdr>
          <w:top w:val="none" w:color="auto" w:sz="0" w:space="0"/>
          <w:left w:val="none" w:color="auto" w:sz="0" w:space="0"/>
          <w:bottom w:val="none" w:color="auto" w:sz="0" w:space="0"/>
          <w:right w:val="none" w:color="auto" w:sz="0" w:space="0"/>
        </w:pBdr>
        <w:spacing w:before="120" w:beforeAutospacing="0" w:after="120" w:afterAutospacing="0" w:line="460" w:lineRule="exact"/>
        <w:ind w:left="0" w:right="0"/>
        <w:jc w:val="both"/>
        <w:rPr>
          <w:rFonts w:hint="eastAsia" w:ascii="仿宋" w:hAnsi="仿宋" w:eastAsia="仿宋" w:cs="仿宋"/>
          <w:b/>
          <w:bCs w:val="0"/>
          <w:color w:val="auto"/>
          <w:sz w:val="32"/>
          <w:szCs w:val="20"/>
          <w:lang w:val="en-US"/>
        </w:rPr>
      </w:pPr>
    </w:p>
    <w:p w14:paraId="4A4A8B7E">
      <w:pPr>
        <w:keepNext w:val="0"/>
        <w:keepLines w:val="0"/>
        <w:widowControl w:val="0"/>
        <w:suppressLineNumbers w:val="0"/>
        <w:pBdr>
          <w:top w:val="none" w:color="auto" w:sz="0" w:space="0"/>
          <w:left w:val="none" w:color="auto" w:sz="0" w:space="0"/>
          <w:bottom w:val="none" w:color="auto" w:sz="0" w:space="0"/>
          <w:right w:val="none" w:color="auto" w:sz="0" w:space="0"/>
        </w:pBdr>
        <w:spacing w:before="120" w:beforeAutospacing="0" w:after="120" w:afterAutospacing="0" w:line="460" w:lineRule="exact"/>
        <w:ind w:left="0" w:right="0"/>
        <w:jc w:val="both"/>
        <w:rPr>
          <w:rFonts w:hint="eastAsia" w:ascii="仿宋" w:hAnsi="仿宋" w:eastAsia="仿宋" w:cs="仿宋"/>
          <w:b/>
          <w:bCs w:val="0"/>
          <w:color w:val="auto"/>
          <w:sz w:val="32"/>
          <w:szCs w:val="20"/>
          <w:lang w:val="en-US"/>
        </w:rPr>
      </w:pPr>
    </w:p>
    <w:p w14:paraId="3F55A675">
      <w:pPr>
        <w:keepNext w:val="0"/>
        <w:keepLines w:val="0"/>
        <w:widowControl w:val="0"/>
        <w:suppressLineNumbers w:val="0"/>
        <w:pBdr>
          <w:top w:val="none" w:color="auto" w:sz="0" w:space="0"/>
          <w:left w:val="none" w:color="auto" w:sz="0" w:space="0"/>
          <w:bottom w:val="none" w:color="auto" w:sz="0" w:space="0"/>
          <w:right w:val="none" w:color="auto" w:sz="0" w:space="0"/>
        </w:pBdr>
        <w:spacing w:before="120" w:beforeAutospacing="0" w:after="120" w:afterAutospacing="0" w:line="460" w:lineRule="exact"/>
        <w:ind w:left="0" w:right="0"/>
        <w:jc w:val="both"/>
        <w:rPr>
          <w:rFonts w:hint="eastAsia" w:ascii="仿宋" w:hAnsi="仿宋" w:eastAsia="仿宋" w:cs="仿宋"/>
          <w:b/>
          <w:bCs w:val="0"/>
          <w:color w:val="auto"/>
          <w:sz w:val="32"/>
          <w:szCs w:val="20"/>
          <w:lang w:val="en-US"/>
        </w:rPr>
      </w:pPr>
    </w:p>
    <w:p w14:paraId="2D7DAEA5">
      <w:pPr>
        <w:keepNext w:val="0"/>
        <w:keepLines w:val="0"/>
        <w:widowControl w:val="0"/>
        <w:suppressLineNumbers w:val="0"/>
        <w:pBdr>
          <w:top w:val="none" w:color="auto" w:sz="0" w:space="0"/>
          <w:left w:val="none" w:color="auto" w:sz="0" w:space="0"/>
          <w:bottom w:val="none" w:color="auto" w:sz="0" w:space="0"/>
          <w:right w:val="none" w:color="auto" w:sz="0" w:space="0"/>
        </w:pBdr>
        <w:spacing w:before="120" w:beforeAutospacing="0" w:after="120" w:afterAutospacing="0" w:line="460" w:lineRule="exact"/>
        <w:ind w:left="0" w:right="0"/>
        <w:jc w:val="both"/>
        <w:rPr>
          <w:rFonts w:hint="eastAsia" w:ascii="仿宋" w:hAnsi="仿宋" w:eastAsia="仿宋" w:cs="仿宋"/>
          <w:b/>
          <w:bCs w:val="0"/>
          <w:color w:val="auto"/>
          <w:sz w:val="32"/>
          <w:szCs w:val="20"/>
          <w:lang w:val="en-US"/>
        </w:rPr>
      </w:pPr>
    </w:p>
    <w:p w14:paraId="12FCA88F">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0"/>
        </w:tabs>
        <w:spacing w:before="120" w:beforeAutospacing="0" w:after="120" w:afterAutospacing="0" w:line="360" w:lineRule="auto"/>
        <w:ind w:left="0" w:right="0" w:firstLine="1546" w:firstLineChars="550"/>
        <w:jc w:val="both"/>
        <w:rPr>
          <w:rFonts w:hint="eastAsia" w:ascii="宋体" w:hAnsi="宋体" w:eastAsia="宋体" w:cs="宋体"/>
          <w:b/>
          <w:bCs w:val="0"/>
          <w:color w:val="auto"/>
          <w:sz w:val="28"/>
          <w:szCs w:val="20"/>
          <w:u w:val="single"/>
          <w:lang w:val="en-US"/>
        </w:rPr>
      </w:pPr>
      <w:r>
        <w:rPr>
          <w:rFonts w:hint="eastAsia" w:ascii="仿宋" w:hAnsi="仿宋" w:eastAsia="仿宋" w:cs="仿宋"/>
          <w:b/>
          <w:bCs w:val="0"/>
          <w:color w:val="auto"/>
          <w:kern w:val="2"/>
          <w:sz w:val="28"/>
          <w:szCs w:val="20"/>
          <w:lang w:val="en-US" w:eastAsia="zh-CN" w:bidi="ar"/>
        </w:rPr>
        <w:t>委托项目名称：</w:t>
      </w:r>
      <w:r>
        <w:rPr>
          <w:rFonts w:hint="eastAsia" w:ascii="仿宋" w:hAnsi="仿宋" w:eastAsia="仿宋" w:cs="仿宋"/>
          <w:b/>
          <w:bCs w:val="0"/>
          <w:color w:val="auto"/>
          <w:kern w:val="2"/>
          <w:sz w:val="28"/>
          <w:szCs w:val="20"/>
          <w:u w:val="single"/>
          <w:lang w:val="en-US" w:eastAsia="zh-CN" w:bidi="ar"/>
        </w:rPr>
        <w:t>主体信用评级</w:t>
      </w:r>
      <w:r>
        <w:rPr>
          <w:rFonts w:hint="eastAsia" w:ascii="宋体" w:hAnsi="宋体" w:eastAsia="宋体" w:cs="宋体"/>
          <w:b/>
          <w:bCs w:val="0"/>
          <w:color w:val="auto"/>
          <w:kern w:val="2"/>
          <w:sz w:val="28"/>
          <w:szCs w:val="20"/>
          <w:u w:val="single"/>
          <w:lang w:val="en-US" w:eastAsia="zh-CN" w:bidi="ar"/>
        </w:rPr>
        <w:t xml:space="preserve">                  </w:t>
      </w:r>
    </w:p>
    <w:p w14:paraId="55610CB5">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0"/>
        </w:tabs>
        <w:spacing w:before="120" w:beforeAutospacing="0" w:after="120" w:afterAutospacing="0" w:line="360" w:lineRule="auto"/>
        <w:ind w:left="0" w:right="0" w:firstLine="1546" w:firstLineChars="550"/>
        <w:jc w:val="both"/>
        <w:rPr>
          <w:rFonts w:hint="eastAsia" w:ascii="仿宋" w:hAnsi="仿宋" w:eastAsia="仿宋" w:cs="仿宋"/>
          <w:b/>
          <w:bCs w:val="0"/>
          <w:color w:val="auto"/>
          <w:sz w:val="28"/>
          <w:szCs w:val="20"/>
          <w:u w:val="single"/>
          <w:lang w:val="en-US"/>
        </w:rPr>
      </w:pPr>
      <w:r>
        <w:rPr>
          <w:rFonts w:hint="eastAsia" w:ascii="仿宋" w:hAnsi="仿宋" w:eastAsia="仿宋" w:cs="仿宋"/>
          <w:b/>
          <w:bCs w:val="0"/>
          <w:color w:val="auto"/>
          <w:kern w:val="2"/>
          <w:sz w:val="28"/>
          <w:szCs w:val="20"/>
          <w:lang w:val="en-US" w:eastAsia="zh-CN" w:bidi="ar"/>
        </w:rPr>
        <w:t>委托方(甲方)：</w:t>
      </w:r>
      <w:r>
        <w:rPr>
          <w:rFonts w:hint="eastAsia" w:ascii="仿宋" w:hAnsi="仿宋" w:eastAsia="仿宋" w:cs="仿宋"/>
          <w:b/>
          <w:bCs w:val="0"/>
          <w:color w:val="auto"/>
          <w:kern w:val="2"/>
          <w:sz w:val="28"/>
          <w:szCs w:val="20"/>
          <w:u w:val="single"/>
          <w:lang w:val="en-US" w:eastAsia="zh-CN" w:bidi="ar"/>
        </w:rPr>
        <w:t>河池市城乡建设投资集团有限公司</w:t>
      </w:r>
    </w:p>
    <w:p w14:paraId="269A1DD0">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0"/>
        </w:tabs>
        <w:spacing w:before="120" w:beforeAutospacing="0" w:after="120" w:afterAutospacing="0" w:line="360" w:lineRule="auto"/>
        <w:ind w:left="0" w:right="0" w:firstLine="1546" w:firstLineChars="550"/>
        <w:jc w:val="both"/>
        <w:rPr>
          <w:rFonts w:hint="eastAsia" w:ascii="仿宋" w:hAnsi="仿宋" w:eastAsia="仿宋" w:cs="仿宋"/>
          <w:b/>
          <w:bCs w:val="0"/>
          <w:color w:val="auto"/>
          <w:sz w:val="28"/>
          <w:szCs w:val="20"/>
          <w:u w:val="single"/>
          <w:lang w:val="en-US"/>
        </w:rPr>
      </w:pPr>
      <w:r>
        <w:rPr>
          <w:rFonts w:hint="eastAsia" w:ascii="仿宋" w:hAnsi="仿宋" w:eastAsia="仿宋" w:cs="仿宋"/>
          <w:b/>
          <w:bCs w:val="0"/>
          <w:color w:val="auto"/>
          <w:kern w:val="2"/>
          <w:sz w:val="28"/>
          <w:szCs w:val="20"/>
          <w:lang w:val="en-US" w:eastAsia="zh-CN" w:bidi="ar"/>
        </w:rPr>
        <w:t>受托方(乙方)：</w:t>
      </w:r>
      <w:r>
        <w:rPr>
          <w:rFonts w:hint="eastAsia" w:ascii="仿宋" w:hAnsi="仿宋" w:eastAsia="仿宋" w:cs="仿宋"/>
          <w:b/>
          <w:bCs w:val="0"/>
          <w:color w:val="auto"/>
          <w:kern w:val="2"/>
          <w:sz w:val="28"/>
          <w:szCs w:val="20"/>
          <w:u w:val="single"/>
          <w:lang w:val="en-US" w:eastAsia="zh-CN" w:bidi="ar"/>
        </w:rPr>
        <w:t xml:space="preserve">                              </w:t>
      </w:r>
    </w:p>
    <w:p w14:paraId="0E46F9D0">
      <w:pPr>
        <w:pStyle w:val="11"/>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b/>
          <w:bCs w:val="0"/>
          <w:color w:val="auto"/>
          <w:sz w:val="28"/>
          <w:szCs w:val="20"/>
        </w:rPr>
      </w:pPr>
    </w:p>
    <w:p w14:paraId="67B4879E">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0"/>
        </w:tabs>
        <w:spacing w:before="120" w:beforeAutospacing="0" w:after="120" w:afterAutospacing="0" w:line="460" w:lineRule="exact"/>
        <w:ind w:left="0" w:right="0"/>
        <w:jc w:val="both"/>
        <w:rPr>
          <w:rFonts w:hint="eastAsia" w:ascii="仿宋" w:hAnsi="仿宋" w:eastAsia="仿宋" w:cs="仿宋"/>
          <w:b/>
          <w:bCs w:val="0"/>
          <w:color w:val="auto"/>
          <w:sz w:val="28"/>
          <w:szCs w:val="20"/>
          <w:lang w:val="en-US"/>
        </w:rPr>
      </w:pPr>
    </w:p>
    <w:p w14:paraId="6933935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p>
    <w:p w14:paraId="50A7E5E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p>
    <w:p w14:paraId="7EB12D2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p>
    <w:p w14:paraId="37D2E02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p>
    <w:p w14:paraId="5353EC6B">
      <w:pPr>
        <w:keepNext w:val="0"/>
        <w:keepLines w:val="0"/>
        <w:widowControl w:val="0"/>
        <w:suppressLineNumbers w:val="0"/>
        <w:pBdr>
          <w:top w:val="none" w:color="auto" w:sz="0" w:space="0"/>
          <w:left w:val="none" w:color="auto" w:sz="0" w:space="0"/>
          <w:bottom w:val="none" w:color="auto" w:sz="0" w:space="0"/>
          <w:right w:val="none" w:color="auto" w:sz="0" w:space="0"/>
        </w:pBdr>
        <w:spacing w:before="156" w:beforeLines="50" w:beforeAutospacing="0" w:after="0" w:afterAutospacing="0"/>
        <w:ind w:left="0" w:right="0"/>
        <w:jc w:val="both"/>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br w:type="page"/>
      </w:r>
      <w:r>
        <w:rPr>
          <w:rFonts w:hint="eastAsia" w:ascii="仿宋" w:hAnsi="仿宋" w:eastAsia="仿宋" w:cs="仿宋"/>
          <w:b/>
          <w:bCs w:val="0"/>
          <w:color w:val="auto"/>
          <w:kern w:val="2"/>
          <w:sz w:val="24"/>
          <w:szCs w:val="20"/>
          <w:lang w:val="en-US" w:eastAsia="zh-CN" w:bidi="ar"/>
        </w:rPr>
        <w:t>委托方： 河池市城乡建设投资集团有限公司   （以下简称“甲方”）</w:t>
      </w:r>
    </w:p>
    <w:p w14:paraId="714BE18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法定代表人：尚斌</w:t>
      </w:r>
    </w:p>
    <w:p w14:paraId="752702C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联系地址：广西河池市金城江区金碧路25号</w:t>
      </w:r>
    </w:p>
    <w:p w14:paraId="1113B6A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2"/>
          <w:lang w:val="en-US"/>
        </w:rPr>
      </w:pPr>
      <w:r>
        <w:rPr>
          <w:rFonts w:hint="eastAsia" w:ascii="仿宋" w:hAnsi="仿宋" w:eastAsia="仿宋" w:cs="仿宋"/>
          <w:b/>
          <w:bCs w:val="0"/>
          <w:color w:val="auto"/>
          <w:kern w:val="2"/>
          <w:sz w:val="24"/>
          <w:szCs w:val="22"/>
          <w:lang w:val="en-US" w:eastAsia="zh-CN" w:bidi="ar"/>
        </w:rPr>
        <w:t>联系人：韦利梅</w:t>
      </w:r>
    </w:p>
    <w:p w14:paraId="230CD74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联系电话：0778-2283372</w:t>
      </w:r>
    </w:p>
    <w:p w14:paraId="57A2AB9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b/>
          <w:bCs w:val="0"/>
          <w:color w:val="auto"/>
          <w:lang w:val="en-US"/>
        </w:rPr>
      </w:pPr>
      <w:r>
        <w:rPr>
          <w:rFonts w:hint="eastAsia" w:ascii="仿宋" w:hAnsi="仿宋" w:eastAsia="仿宋" w:cs="仿宋"/>
          <w:b/>
          <w:bCs w:val="0"/>
          <w:color w:val="auto"/>
          <w:kern w:val="2"/>
          <w:sz w:val="24"/>
          <w:szCs w:val="20"/>
          <w:lang w:val="en-US" w:eastAsia="zh-CN" w:bidi="ar"/>
        </w:rPr>
        <w:t>联系邮箱</w:t>
      </w:r>
      <w:r>
        <w:rPr>
          <w:rFonts w:hint="eastAsia" w:ascii="仿宋" w:hAnsi="仿宋" w:eastAsia="仿宋" w:cs="仿宋"/>
          <w:color w:val="auto"/>
          <w:kern w:val="2"/>
          <w:sz w:val="24"/>
          <w:szCs w:val="20"/>
          <w:lang w:val="en-US" w:eastAsia="zh-CN" w:bidi="ar"/>
        </w:rPr>
        <w:t>：</w:t>
      </w:r>
      <w:r>
        <w:rPr>
          <w:rFonts w:hint="default" w:ascii="Times New Roman" w:hAnsi="Times New Roman" w:eastAsia="宋体" w:cs="Times New Roman"/>
          <w:b/>
          <w:bCs w:val="0"/>
          <w:color w:val="auto"/>
          <w:kern w:val="2"/>
          <w:sz w:val="21"/>
          <w:szCs w:val="20"/>
          <w:lang w:val="en-US" w:eastAsia="zh-CN" w:bidi="ar"/>
        </w:rPr>
        <w:t>hcctrzb@163.com</w:t>
      </w:r>
    </w:p>
    <w:p w14:paraId="74C5ACAF">
      <w:pPr>
        <w:pStyle w:val="11"/>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bCs w:val="0"/>
          <w:color w:val="auto"/>
          <w:sz w:val="24"/>
          <w:szCs w:val="20"/>
        </w:rPr>
      </w:pPr>
    </w:p>
    <w:p w14:paraId="512CAE3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Cs/>
          <w:color w:val="auto"/>
          <w:sz w:val="24"/>
          <w:szCs w:val="20"/>
          <w:lang w:val="en-US"/>
        </w:rPr>
      </w:pPr>
      <w:r>
        <w:rPr>
          <w:rFonts w:hint="eastAsia" w:ascii="仿宋" w:hAnsi="仿宋" w:eastAsia="仿宋" w:cs="仿宋"/>
          <w:b/>
          <w:bCs w:val="0"/>
          <w:color w:val="auto"/>
          <w:kern w:val="2"/>
          <w:sz w:val="24"/>
          <w:szCs w:val="20"/>
          <w:lang w:val="en-US" w:eastAsia="zh-CN" w:bidi="ar"/>
        </w:rPr>
        <w:t>受托方：              （以下简称“乙方”）</w:t>
      </w:r>
    </w:p>
    <w:p w14:paraId="14C2309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法定代表人：</w:t>
      </w:r>
    </w:p>
    <w:p w14:paraId="6132BD4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联系地址：</w:t>
      </w:r>
    </w:p>
    <w:p w14:paraId="2EB594B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2"/>
          <w:lang w:val="en-US"/>
        </w:rPr>
      </w:pPr>
      <w:r>
        <w:rPr>
          <w:rFonts w:hint="eastAsia" w:ascii="仿宋" w:hAnsi="仿宋" w:eastAsia="仿宋" w:cs="仿宋"/>
          <w:b/>
          <w:bCs w:val="0"/>
          <w:color w:val="auto"/>
          <w:kern w:val="2"/>
          <w:sz w:val="24"/>
          <w:szCs w:val="22"/>
          <w:lang w:val="en-US" w:eastAsia="zh-CN" w:bidi="ar"/>
        </w:rPr>
        <w:t>联系人：</w:t>
      </w:r>
    </w:p>
    <w:p w14:paraId="42EBB0E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联系电话：</w:t>
      </w:r>
    </w:p>
    <w:p w14:paraId="73D4E15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联系邮箱：</w:t>
      </w:r>
    </w:p>
    <w:p w14:paraId="14526A4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480" w:firstLineChars="200"/>
        <w:jc w:val="both"/>
        <w:rPr>
          <w:rFonts w:hint="eastAsia" w:ascii="仿宋" w:hAnsi="仿宋" w:eastAsia="仿宋" w:cs="仿宋"/>
          <w:color w:val="auto"/>
          <w:sz w:val="24"/>
          <w:szCs w:val="22"/>
          <w:lang w:val="en-US"/>
        </w:rPr>
      </w:pPr>
    </w:p>
    <w:p w14:paraId="3BB6058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2"/>
          <w:lang w:val="en-US"/>
        </w:rPr>
      </w:pPr>
      <w:r>
        <w:rPr>
          <w:rFonts w:hint="eastAsia" w:ascii="仿宋" w:hAnsi="仿宋" w:eastAsia="仿宋" w:cs="仿宋"/>
          <w:color w:val="auto"/>
          <w:kern w:val="2"/>
          <w:sz w:val="24"/>
          <w:szCs w:val="22"/>
          <w:lang w:val="en-US" w:eastAsia="zh-CN" w:bidi="ar"/>
        </w:rPr>
        <w:t>根据《中华人民共和国民法典》等相关规定，甲乙双方遵循平等、自愿、公平原则，经友好协商，就甲方委托乙方开展主体信用评级</w:t>
      </w:r>
      <w:r>
        <w:rPr>
          <w:rFonts w:hint="eastAsia" w:ascii="仿宋" w:hAnsi="仿宋" w:eastAsia="仿宋" w:cs="仿宋"/>
          <w:color w:val="auto"/>
          <w:kern w:val="2"/>
          <w:sz w:val="24"/>
          <w:szCs w:val="20"/>
          <w:lang w:val="en-US" w:eastAsia="zh-CN" w:bidi="ar"/>
        </w:rPr>
        <w:t>（以下简称“本项目”）</w:t>
      </w:r>
      <w:r>
        <w:rPr>
          <w:rFonts w:hint="eastAsia" w:ascii="仿宋" w:hAnsi="仿宋" w:eastAsia="仿宋" w:cs="仿宋"/>
          <w:color w:val="auto"/>
          <w:kern w:val="2"/>
          <w:sz w:val="24"/>
          <w:szCs w:val="22"/>
          <w:lang w:val="en-US" w:eastAsia="zh-CN" w:bidi="ar"/>
        </w:rPr>
        <w:t>事宜达成一致，订立本合同，共同遵照执行。</w:t>
      </w:r>
    </w:p>
    <w:p w14:paraId="3ED390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outlineLvl w:val="0"/>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第一条  委托事项</w:t>
      </w:r>
    </w:p>
    <w:p w14:paraId="5FD222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2"/>
          <w:lang w:val="en-US"/>
        </w:rPr>
      </w:pPr>
      <w:r>
        <w:rPr>
          <w:rFonts w:hint="eastAsia" w:ascii="仿宋" w:hAnsi="仿宋" w:eastAsia="仿宋" w:cs="仿宋"/>
          <w:color w:val="auto"/>
          <w:kern w:val="2"/>
          <w:sz w:val="24"/>
          <w:szCs w:val="20"/>
          <w:lang w:val="en-US" w:eastAsia="zh-CN" w:bidi="ar"/>
        </w:rPr>
        <w:t>1.1甲方委托乙方对</w:t>
      </w:r>
      <w:r>
        <w:rPr>
          <w:rFonts w:hint="eastAsia" w:ascii="仿宋" w:hAnsi="仿宋" w:eastAsia="仿宋" w:cs="仿宋"/>
          <w:color w:val="auto"/>
          <w:kern w:val="2"/>
          <w:sz w:val="24"/>
          <w:szCs w:val="22"/>
          <w:u w:val="single"/>
          <w:lang w:val="en-US" w:eastAsia="zh-CN" w:bidi="ar"/>
        </w:rPr>
        <w:t xml:space="preserve"> 河池市城乡建设投资集团有限公司 </w:t>
      </w:r>
      <w:r>
        <w:rPr>
          <w:rFonts w:hint="eastAsia" w:ascii="仿宋" w:hAnsi="仿宋" w:eastAsia="仿宋" w:cs="仿宋"/>
          <w:color w:val="auto"/>
          <w:kern w:val="2"/>
          <w:sz w:val="24"/>
          <w:szCs w:val="20"/>
          <w:lang w:val="en-US" w:eastAsia="zh-CN" w:bidi="ar"/>
        </w:rPr>
        <w:t>进行主体信用评级，乙方向甲方提交信用评级报告。</w:t>
      </w:r>
    </w:p>
    <w:p w14:paraId="515172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outlineLvl w:val="0"/>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1.2主体评级结果有效期为1年，自主体信用评级结果出具日开始计算。其中：</w:t>
      </w:r>
    </w:p>
    <w:p w14:paraId="313304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outlineLvl w:val="0"/>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 xml:space="preserve">1.2.1评级结果有效期除终止评级外，不因任何原因调整。 </w:t>
      </w:r>
    </w:p>
    <w:p w14:paraId="1EAD78A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outlineLvl w:val="0"/>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1.2.2评级结果有效期内</w:t>
      </w:r>
      <w:r>
        <w:rPr>
          <w:rFonts w:hint="eastAsia" w:ascii="仿宋" w:hAnsi="仿宋" w:eastAsia="仿宋" w:cs="仿宋"/>
          <w:color w:val="auto"/>
          <w:kern w:val="2"/>
          <w:sz w:val="24"/>
          <w:szCs w:val="22"/>
          <w:lang w:val="en-US" w:eastAsia="zh-CN" w:bidi="ar"/>
        </w:rPr>
        <w:t>，发生评级调整则以最新信息为准</w:t>
      </w:r>
      <w:r>
        <w:rPr>
          <w:rFonts w:hint="eastAsia" w:ascii="仿宋" w:hAnsi="仿宋" w:eastAsia="仿宋" w:cs="仿宋"/>
          <w:color w:val="auto"/>
          <w:kern w:val="2"/>
          <w:sz w:val="24"/>
          <w:szCs w:val="20"/>
          <w:lang w:val="en-US" w:eastAsia="zh-CN" w:bidi="ar"/>
        </w:rPr>
        <w:t>。</w:t>
      </w:r>
    </w:p>
    <w:p w14:paraId="15BA0A6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outlineLvl w:val="0"/>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1.2.3评级结果有效期满后，如无新的主体信用评级结果出具，原有主体评级结果自动失效。</w:t>
      </w:r>
    </w:p>
    <w:p w14:paraId="095815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2"/>
          <w:lang w:val="en-US" w:eastAsia="zh-CN" w:bidi="ar"/>
        </w:rPr>
        <w:t>1.3甲乙双方确认：</w:t>
      </w:r>
      <w:r>
        <w:rPr>
          <w:rFonts w:hint="eastAsia" w:ascii="仿宋" w:hAnsi="仿宋" w:eastAsia="仿宋" w:cs="仿宋"/>
          <w:color w:val="auto"/>
          <w:kern w:val="2"/>
          <w:sz w:val="24"/>
          <w:szCs w:val="20"/>
          <w:lang w:val="en-US" w:eastAsia="zh-CN" w:bidi="ar"/>
        </w:rPr>
        <w:t>乙方出具的信用评级报告仅为第三方参考意见，并非是某种决策性的结论或建议，甲方应谨慎使用信用评级报告。</w:t>
      </w:r>
      <w:r>
        <w:rPr>
          <w:rFonts w:hint="eastAsia" w:ascii="仿宋" w:hAnsi="仿宋" w:eastAsia="仿宋" w:cs="仿宋"/>
          <w:color w:val="auto"/>
          <w:kern w:val="2"/>
          <w:sz w:val="24"/>
          <w:szCs w:val="22"/>
          <w:lang w:val="en-US" w:eastAsia="zh-CN" w:bidi="ar"/>
        </w:rPr>
        <w:t>甲方不得干扰乙方评定何种层次的信用等级，乙方不得承诺信用等级。</w:t>
      </w:r>
    </w:p>
    <w:p w14:paraId="2539D2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outlineLvl w:val="0"/>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第二条  评级费用</w:t>
      </w:r>
    </w:p>
    <w:p w14:paraId="4F48500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2"/>
          <w:lang w:val="en-US"/>
        </w:rPr>
      </w:pPr>
      <w:r>
        <w:rPr>
          <w:rFonts w:hint="eastAsia" w:ascii="仿宋" w:hAnsi="仿宋" w:eastAsia="仿宋" w:cs="仿宋"/>
          <w:color w:val="auto"/>
          <w:kern w:val="2"/>
          <w:sz w:val="24"/>
          <w:szCs w:val="20"/>
          <w:lang w:val="en-US" w:eastAsia="zh-CN" w:bidi="ar"/>
        </w:rPr>
        <w:t>2.1评级费用</w:t>
      </w:r>
      <w:r>
        <w:rPr>
          <w:rFonts w:hint="eastAsia" w:ascii="仿宋" w:hAnsi="仿宋" w:eastAsia="仿宋" w:cs="仿宋"/>
          <w:color w:val="auto"/>
          <w:kern w:val="2"/>
          <w:sz w:val="24"/>
          <w:szCs w:val="22"/>
          <w:lang w:val="en-US" w:eastAsia="zh-CN" w:bidi="ar"/>
        </w:rPr>
        <w:t>包括以下相关费用：</w:t>
      </w:r>
    </w:p>
    <w:p w14:paraId="7FD1C2E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2"/>
          <w:lang w:val="en-US"/>
        </w:rPr>
      </w:pPr>
      <w:r>
        <w:rPr>
          <w:rFonts w:hint="eastAsia" w:ascii="仿宋" w:hAnsi="仿宋" w:eastAsia="仿宋" w:cs="仿宋"/>
          <w:color w:val="auto"/>
          <w:kern w:val="2"/>
          <w:sz w:val="24"/>
          <w:szCs w:val="22"/>
          <w:lang w:val="en-US" w:eastAsia="zh-CN" w:bidi="ar"/>
        </w:rPr>
        <w:t>2.1.1主体首次评级费用</w:t>
      </w:r>
    </w:p>
    <w:p w14:paraId="30E376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2"/>
          <w:lang w:val="en-US" w:eastAsia="zh-CN" w:bidi="ar"/>
        </w:rPr>
        <w:t>首次评级费用为</w:t>
      </w:r>
      <w:r>
        <w:rPr>
          <w:rFonts w:hint="default" w:ascii="Arial" w:hAnsi="Arial" w:eastAsia="仿宋" w:cs="Arial"/>
          <w:color w:val="auto"/>
          <w:kern w:val="2"/>
          <w:sz w:val="24"/>
          <w:szCs w:val="22"/>
          <w:u w:val="single"/>
          <w:lang w:val="en-US" w:eastAsia="zh-CN" w:bidi="ar"/>
        </w:rPr>
        <w:t>¥</w:t>
      </w:r>
      <w:r>
        <w:rPr>
          <w:rFonts w:hint="eastAsia" w:ascii="仿宋" w:hAnsi="仿宋" w:eastAsia="仿宋" w:cs="仿宋"/>
          <w:color w:val="auto"/>
          <w:kern w:val="2"/>
          <w:sz w:val="24"/>
          <w:szCs w:val="22"/>
          <w:u w:val="single"/>
          <w:lang w:val="en-US" w:eastAsia="zh-CN" w:bidi="ar"/>
        </w:rPr>
        <w:t xml:space="preserve">        </w:t>
      </w:r>
      <w:r>
        <w:rPr>
          <w:rFonts w:hint="eastAsia" w:ascii="仿宋" w:hAnsi="仿宋" w:eastAsia="仿宋" w:cs="仿宋"/>
          <w:color w:val="auto"/>
          <w:kern w:val="2"/>
          <w:sz w:val="24"/>
          <w:szCs w:val="20"/>
          <w:lang w:val="en-US" w:eastAsia="zh-CN" w:bidi="ar"/>
        </w:rPr>
        <w:t>元（大写：人民币</w:t>
      </w:r>
      <w:r>
        <w:rPr>
          <w:rFonts w:hint="eastAsia" w:ascii="仿宋" w:hAnsi="仿宋" w:eastAsia="仿宋" w:cs="仿宋"/>
          <w:color w:val="auto"/>
          <w:kern w:val="2"/>
          <w:sz w:val="24"/>
          <w:szCs w:val="22"/>
          <w:u w:val="single"/>
          <w:lang w:val="en-US" w:eastAsia="zh-CN" w:bidi="ar"/>
        </w:rPr>
        <w:t xml:space="preserve">             </w:t>
      </w:r>
      <w:r>
        <w:rPr>
          <w:rFonts w:hint="eastAsia" w:ascii="仿宋" w:hAnsi="仿宋" w:eastAsia="仿宋" w:cs="仿宋"/>
          <w:color w:val="auto"/>
          <w:kern w:val="2"/>
          <w:sz w:val="24"/>
          <w:szCs w:val="20"/>
          <w:lang w:val="en-US" w:eastAsia="zh-CN" w:bidi="ar"/>
        </w:rPr>
        <w:t>元整），甲方应于本合同生效之日起7个工作日内并在乙方</w:t>
      </w:r>
      <w:r>
        <w:rPr>
          <w:rFonts w:hint="eastAsia" w:ascii="仿宋" w:hAnsi="仿宋" w:eastAsia="仿宋" w:cs="仿宋"/>
          <w:color w:val="auto"/>
          <w:kern w:val="2"/>
          <w:sz w:val="24"/>
          <w:szCs w:val="22"/>
          <w:lang w:val="en-US" w:eastAsia="zh-CN" w:bidi="ar"/>
        </w:rPr>
        <w:t>主体首次评级项目启动</w:t>
      </w:r>
      <w:r>
        <w:rPr>
          <w:rFonts w:hint="eastAsia" w:ascii="仿宋" w:hAnsi="仿宋" w:eastAsia="仿宋" w:cs="仿宋"/>
          <w:color w:val="auto"/>
          <w:kern w:val="2"/>
          <w:sz w:val="24"/>
          <w:szCs w:val="20"/>
          <w:lang w:val="en-US" w:eastAsia="zh-CN" w:bidi="ar"/>
        </w:rPr>
        <w:t>前将首次评级费用一次性全额支付给乙方。</w:t>
      </w:r>
    </w:p>
    <w:p w14:paraId="078226A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2.1.2 引用类评级费用</w:t>
      </w:r>
    </w:p>
    <w:p w14:paraId="268DC80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如甲方需引用乙方出具的主体报告中主体评级信息用于发债，应当提前10个工作日向乙方提出书面申请，经乙方书面同意后方可引用主体评级信息。</w:t>
      </w:r>
    </w:p>
    <w:p w14:paraId="7DD27E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2.1.3更新类评级费用</w:t>
      </w:r>
    </w:p>
    <w:p w14:paraId="730013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如甲方委托乙方更新财务数据等信息，甲乙双方可另行签订书面协议约定收费标准和权利义务。</w:t>
      </w:r>
    </w:p>
    <w:p w14:paraId="33FB9B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2.2乙方收款账户信息：</w:t>
      </w:r>
    </w:p>
    <w:p w14:paraId="2880A53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开户银行：</w:t>
      </w:r>
    </w:p>
    <w:p w14:paraId="7422EE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开户账号：</w:t>
      </w:r>
    </w:p>
    <w:p w14:paraId="017BA6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开户全称：</w:t>
      </w:r>
    </w:p>
    <w:p w14:paraId="053C80A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b/>
          <w:bCs/>
          <w:color w:val="auto"/>
          <w:sz w:val="24"/>
          <w:szCs w:val="20"/>
          <w:lang w:val="en-US"/>
        </w:rPr>
      </w:pPr>
      <w:r>
        <w:rPr>
          <w:rFonts w:hint="eastAsia" w:ascii="仿宋" w:hAnsi="仿宋" w:eastAsia="仿宋" w:cs="仿宋"/>
          <w:color w:val="auto"/>
          <w:kern w:val="2"/>
          <w:sz w:val="24"/>
          <w:szCs w:val="20"/>
          <w:lang w:val="en-US" w:eastAsia="zh-CN" w:bidi="ar"/>
        </w:rPr>
        <w:t>2.3乙方应在甲方付款前向甲方出具税率为</w:t>
      </w:r>
      <w:r>
        <w:rPr>
          <w:rFonts w:hint="eastAsia" w:ascii="仿宋" w:hAnsi="仿宋" w:eastAsia="仿宋" w:cs="仿宋"/>
          <w:color w:val="auto"/>
          <w:kern w:val="2"/>
          <w:sz w:val="24"/>
          <w:szCs w:val="20"/>
          <w:u w:val="single"/>
          <w:lang w:val="en-US" w:eastAsia="zh-CN" w:bidi="ar"/>
        </w:rPr>
        <w:t xml:space="preserve">   </w:t>
      </w:r>
      <w:r>
        <w:rPr>
          <w:rFonts w:hint="eastAsia" w:ascii="仿宋" w:hAnsi="仿宋" w:eastAsia="仿宋" w:cs="仿宋"/>
          <w:color w:val="auto"/>
          <w:kern w:val="2"/>
          <w:sz w:val="24"/>
          <w:szCs w:val="20"/>
          <w:lang w:val="en-US" w:eastAsia="zh-CN" w:bidi="ar"/>
        </w:rPr>
        <w:t>%的增值税专用发票（一般纳税人税率为6%，小规模纳税人税率为3%）。</w:t>
      </w:r>
    </w:p>
    <w:p w14:paraId="5B13BB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rPr>
          <w:rFonts w:hint="eastAsia" w:ascii="仿宋" w:hAnsi="仿宋" w:eastAsia="仿宋" w:cs="仿宋"/>
          <w:b/>
          <w:bCs/>
          <w:color w:val="auto"/>
          <w:sz w:val="24"/>
          <w:szCs w:val="20"/>
          <w:lang w:val="en-US"/>
        </w:rPr>
      </w:pPr>
      <w:r>
        <w:rPr>
          <w:rFonts w:hint="eastAsia" w:ascii="仿宋" w:hAnsi="仿宋" w:eastAsia="仿宋" w:cs="仿宋"/>
          <w:b/>
          <w:bCs/>
          <w:color w:val="auto"/>
          <w:kern w:val="2"/>
          <w:sz w:val="24"/>
          <w:szCs w:val="20"/>
          <w:lang w:val="en-US" w:eastAsia="zh-CN" w:bidi="ar"/>
        </w:rPr>
        <w:t>第三条  甲方的权利与义务</w:t>
      </w:r>
    </w:p>
    <w:p w14:paraId="3B3622D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3.1甲方享有对乙方市场人员在合同洽谈阶段及评级人员在评级分析阶段的商业贿赂、不尽职履责等情况的投诉权和申诉权。</w:t>
      </w:r>
    </w:p>
    <w:p w14:paraId="3DBF1C1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2"/>
          <w:lang w:val="en-US"/>
        </w:rPr>
      </w:pPr>
      <w:r>
        <w:rPr>
          <w:rFonts w:hint="eastAsia" w:ascii="仿宋" w:hAnsi="仿宋" w:eastAsia="仿宋" w:cs="仿宋"/>
          <w:color w:val="auto"/>
          <w:kern w:val="2"/>
          <w:sz w:val="24"/>
          <w:szCs w:val="20"/>
          <w:lang w:val="en-US" w:eastAsia="zh-CN" w:bidi="ar"/>
        </w:rPr>
        <w:t>3.2</w:t>
      </w:r>
      <w:r>
        <w:rPr>
          <w:rFonts w:hint="eastAsia" w:ascii="仿宋" w:hAnsi="仿宋" w:eastAsia="仿宋" w:cs="仿宋"/>
          <w:color w:val="auto"/>
          <w:kern w:val="2"/>
          <w:sz w:val="24"/>
          <w:szCs w:val="22"/>
          <w:lang w:val="en-US" w:eastAsia="zh-CN" w:bidi="ar"/>
        </w:rPr>
        <w:t>甲方应根据乙方要求及时提供评级所需的文件资料，并确保在双方合作期间所提供文件资料真实、准确、完整且无隐瞒、遗漏和误导。如甲方提供的资料不符合前述要求，致使评级资料出现重大偏差，由此产生的一切后果，均由甲方承担；上述行为给乙方造成损失的，甲方应当承担违约责任；同时乙方有权采取调整或撤销信用等级等必要措施。</w:t>
      </w:r>
    </w:p>
    <w:p w14:paraId="54DB24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2"/>
          <w:lang w:val="en-US"/>
        </w:rPr>
      </w:pPr>
      <w:r>
        <w:rPr>
          <w:rFonts w:hint="eastAsia" w:ascii="仿宋" w:hAnsi="仿宋" w:eastAsia="仿宋" w:cs="仿宋"/>
          <w:color w:val="auto"/>
          <w:kern w:val="2"/>
          <w:sz w:val="24"/>
          <w:szCs w:val="22"/>
          <w:lang w:val="en-US" w:eastAsia="zh-CN" w:bidi="ar"/>
        </w:rPr>
        <w:t>该等文件资料以及评级所涉及的意见反馈等，可以采用电子邮件、邮寄、传真、现场移交等多种方式提供。由甲方联系人（联系方式见合同正文首页基本信息处，若甲方联系人更换应当提前3日书面通知乙方）提供的前述资料均可视为甲方提供。</w:t>
      </w:r>
    </w:p>
    <w:p w14:paraId="13333E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2"/>
          <w:lang w:val="en-US"/>
        </w:rPr>
      </w:pPr>
      <w:r>
        <w:rPr>
          <w:rFonts w:hint="eastAsia" w:ascii="仿宋" w:hAnsi="仿宋" w:eastAsia="仿宋" w:cs="仿宋"/>
          <w:color w:val="auto"/>
          <w:kern w:val="2"/>
          <w:sz w:val="24"/>
          <w:szCs w:val="20"/>
          <w:lang w:val="en-US" w:eastAsia="zh-CN" w:bidi="ar"/>
        </w:rPr>
        <w:t>3.3</w:t>
      </w:r>
      <w:r>
        <w:rPr>
          <w:rFonts w:hint="eastAsia" w:ascii="仿宋" w:hAnsi="仿宋" w:eastAsia="仿宋" w:cs="仿宋"/>
          <w:color w:val="auto"/>
          <w:kern w:val="2"/>
          <w:sz w:val="24"/>
          <w:szCs w:val="22"/>
          <w:lang w:val="en-US" w:eastAsia="zh-CN" w:bidi="ar"/>
        </w:rPr>
        <w:t>甲方有义务配合乙方进场，配合开展与评级工作相关的调查、访问、座谈及其他必要活动，并为此提供条件和便利。甲方保证不以任何方式影响乙方评级人员正常开展工作。</w:t>
      </w:r>
    </w:p>
    <w:p w14:paraId="09D7A5C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3.4在甲方主体信用评级结果有效期内，如甲方发生包括但不限于涉及自身经营、资产变动、股权结构变更或其他足以影响甲方主体信用状况的重大事件，应及时书面通知乙方，并提供相关资料，包括但不限于季度报告（如有）、年度报告、征信报告及相关信息等或出现紧急调整级别的情况，需要甲方提前做出反馈的，甲方同意配合乙方进行对主体信用的不定期跟踪评级工作。</w:t>
      </w:r>
    </w:p>
    <w:p w14:paraId="6E8DDCC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3.5若甲方自行披露乙方正式出具评级报告的，则应当确保披露的内容和信息完整、准确、真实。甲方披露的评级报告与乙方正式出具的不一致的，乙方有权要求甲方在已披露的渠道进行更改，并有权披露已出具的正式版本的评级报告。</w:t>
      </w:r>
    </w:p>
    <w:p w14:paraId="3DDD48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3.6在甲方主体信用等级有效期内，如遇监管机构、自律性组织等相关有权机构政策调整和变化，甲方有义务配合乙方工作保证本合同项下的主体信用评级工作符合监管要求并顺利进行。</w:t>
      </w:r>
    </w:p>
    <w:p w14:paraId="4DBA3C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3.7报告用途</w:t>
      </w:r>
    </w:p>
    <w:p w14:paraId="4C9EED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3.7.1甲方委托乙方提交信用评级报告的用途为</w:t>
      </w:r>
      <w:r>
        <w:rPr>
          <w:rFonts w:hint="eastAsia" w:ascii="仿宋" w:hAnsi="仿宋" w:eastAsia="仿宋" w:cs="仿宋"/>
          <w:color w:val="auto"/>
          <w:kern w:val="2"/>
          <w:sz w:val="24"/>
          <w:szCs w:val="20"/>
          <w:u w:val="single"/>
          <w:lang w:val="en-US" w:eastAsia="zh-CN" w:bidi="ar"/>
        </w:rPr>
        <w:t xml:space="preserve">：评估主体信用等级  </w:t>
      </w:r>
      <w:r>
        <w:rPr>
          <w:rFonts w:hint="eastAsia" w:ascii="仿宋" w:hAnsi="仿宋" w:eastAsia="仿宋" w:cs="仿宋"/>
          <w:color w:val="auto"/>
          <w:kern w:val="2"/>
          <w:sz w:val="24"/>
          <w:szCs w:val="20"/>
          <w:lang w:val="en-US" w:eastAsia="zh-CN" w:bidi="ar"/>
        </w:rPr>
        <w:t>。</w:t>
      </w:r>
    </w:p>
    <w:p w14:paraId="384682E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3.7.2如甲方使用乙方出具的信用评级报告发债或其他用途，应当提前十个工作日向乙方提出书面申请，并向乙方披露信用评级报告出具日起至甲方书面申请日期间内发生的、可能影响受评对象信用状况的事项，同时提供相关资料，经乙方确认后方可使用。</w:t>
      </w:r>
    </w:p>
    <w:p w14:paraId="40CABD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3.7.3未经乙方书面确认同意，甲方不得在债券募集说明书等文件中引用乙方出具的信用评级报告的任何内容。如甲方使用乙方出具的信用评级报告违反上述约定，视为甲方根本违约，乙方有权立即公布信用评级报告失效、终止评级。由此产生的所有后果和责任均由甲方承担，乙方不承担任何责任。</w:t>
      </w:r>
    </w:p>
    <w:p w14:paraId="19D2AD9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rPr>
          <w:rFonts w:hint="eastAsia" w:ascii="仿宋" w:hAnsi="仿宋" w:eastAsia="仿宋" w:cs="仿宋"/>
          <w:b/>
          <w:bCs/>
          <w:color w:val="auto"/>
          <w:sz w:val="24"/>
          <w:szCs w:val="20"/>
          <w:lang w:val="en-US"/>
        </w:rPr>
      </w:pPr>
      <w:r>
        <w:rPr>
          <w:rFonts w:hint="eastAsia" w:ascii="仿宋" w:hAnsi="仿宋" w:eastAsia="仿宋" w:cs="仿宋"/>
          <w:b/>
          <w:bCs/>
          <w:color w:val="auto"/>
          <w:kern w:val="2"/>
          <w:sz w:val="24"/>
          <w:szCs w:val="20"/>
          <w:lang w:val="en-US" w:eastAsia="zh-CN" w:bidi="ar"/>
        </w:rPr>
        <w:t>第四条  乙方的权利与义务</w:t>
      </w:r>
    </w:p>
    <w:p w14:paraId="78DB59B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4.1乙方在评级过程中应遵循监管机构、自律性组织及乙方内部规定的业务流程、方法开展评级工作、出具信用评级结果及信用评级报告。</w:t>
      </w:r>
    </w:p>
    <w:p w14:paraId="520F6C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4.2</w:t>
      </w:r>
      <w:r>
        <w:rPr>
          <w:rFonts w:hint="eastAsia" w:ascii="仿宋" w:hAnsi="仿宋" w:eastAsia="仿宋" w:cs="仿宋"/>
          <w:color w:val="auto"/>
          <w:kern w:val="2"/>
          <w:sz w:val="24"/>
          <w:szCs w:val="22"/>
          <w:lang w:val="en-US" w:eastAsia="zh-CN" w:bidi="ar"/>
        </w:rPr>
        <w:t>乙方按照监管规定进行跟踪评级。</w:t>
      </w:r>
      <w:r>
        <w:rPr>
          <w:rFonts w:hint="eastAsia" w:ascii="仿宋" w:hAnsi="仿宋" w:eastAsia="仿宋" w:cs="仿宋"/>
          <w:color w:val="auto"/>
          <w:kern w:val="2"/>
          <w:sz w:val="24"/>
          <w:szCs w:val="20"/>
          <w:lang w:val="en-US" w:eastAsia="zh-CN" w:bidi="ar"/>
        </w:rPr>
        <w:t>在主体信用评级结果有效期内，如乙方发现甲方出现足以影响评级结果的实际情况变化，在符合法律和监管机构要求的前提下，乙方有权对甲方主体评级采取</w:t>
      </w:r>
      <w:r>
        <w:rPr>
          <w:rFonts w:hint="eastAsia" w:ascii="仿宋" w:hAnsi="仿宋" w:eastAsia="仿宋" w:cs="仿宋"/>
          <w:color w:val="auto"/>
          <w:kern w:val="2"/>
          <w:sz w:val="24"/>
          <w:szCs w:val="22"/>
          <w:lang w:val="en-US" w:eastAsia="zh-CN" w:bidi="ar"/>
        </w:rPr>
        <w:t>调整或撤销信用等级等必要措施</w:t>
      </w:r>
      <w:r>
        <w:rPr>
          <w:rFonts w:hint="eastAsia" w:ascii="仿宋" w:hAnsi="仿宋" w:eastAsia="仿宋" w:cs="仿宋"/>
          <w:color w:val="auto"/>
          <w:kern w:val="2"/>
          <w:sz w:val="24"/>
          <w:szCs w:val="20"/>
          <w:lang w:val="en-US" w:eastAsia="zh-CN" w:bidi="ar"/>
        </w:rPr>
        <w:t>，并可以采取适当的方式将相关措施及评级结果进行公开。</w:t>
      </w:r>
    </w:p>
    <w:p w14:paraId="3245E76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4.3在甲方主体信用评级结果有效期届满之后，若甲方未委托乙方进行新的主体信用评级或者其他债务融资工具的评级的，乙方有权书面通知甲方并通过乙方的网站对甲方主体信用评级结果有效期届满的事宜进行公告。</w:t>
      </w:r>
    </w:p>
    <w:p w14:paraId="2444FB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4.4如甲方在乙方承做的其他信用评级项目中作为相关方，且该项目评级工作需要使用甲方信息、数据、资料的，甲方授权乙方在提供评级服务过程中使用已经提供给乙方的信息、数据、资料。</w:t>
      </w:r>
    </w:p>
    <w:p w14:paraId="6E38BB0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2"/>
          <w:lang w:val="en-US"/>
        </w:rPr>
      </w:pPr>
      <w:r>
        <w:rPr>
          <w:rFonts w:hint="eastAsia" w:ascii="仿宋" w:hAnsi="仿宋" w:eastAsia="仿宋" w:cs="仿宋"/>
          <w:color w:val="auto"/>
          <w:kern w:val="2"/>
          <w:sz w:val="24"/>
          <w:szCs w:val="20"/>
          <w:lang w:val="en-US" w:eastAsia="zh-CN" w:bidi="ar"/>
        </w:rPr>
        <w:t>4.5乙</w:t>
      </w:r>
      <w:r>
        <w:rPr>
          <w:rFonts w:hint="eastAsia" w:ascii="仿宋" w:hAnsi="仿宋" w:eastAsia="仿宋" w:cs="仿宋"/>
          <w:color w:val="auto"/>
          <w:kern w:val="2"/>
          <w:sz w:val="24"/>
          <w:szCs w:val="22"/>
          <w:lang w:val="en-US" w:eastAsia="zh-CN" w:bidi="ar"/>
        </w:rPr>
        <w:t>方出具</w:t>
      </w:r>
      <w:r>
        <w:rPr>
          <w:rFonts w:hint="eastAsia" w:ascii="仿宋" w:hAnsi="仿宋" w:eastAsia="仿宋" w:cs="仿宋"/>
          <w:color w:val="auto"/>
          <w:kern w:val="2"/>
          <w:sz w:val="24"/>
          <w:szCs w:val="20"/>
          <w:lang w:val="en-US" w:eastAsia="zh-CN" w:bidi="ar"/>
        </w:rPr>
        <w:t>信用</w:t>
      </w:r>
      <w:r>
        <w:rPr>
          <w:rFonts w:hint="eastAsia" w:ascii="仿宋" w:hAnsi="仿宋" w:eastAsia="仿宋" w:cs="仿宋"/>
          <w:color w:val="auto"/>
          <w:kern w:val="2"/>
          <w:sz w:val="24"/>
          <w:szCs w:val="22"/>
          <w:lang w:val="en-US" w:eastAsia="zh-CN" w:bidi="ar"/>
        </w:rPr>
        <w:t>评级报告采用的评级符号、评级方法、评级模型等变更并公开披露后，乙方有权调整评级结果并公布。</w:t>
      </w:r>
    </w:p>
    <w:p w14:paraId="4034D2A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rPr>
          <w:rFonts w:hint="eastAsia" w:ascii="仿宋" w:hAnsi="仿宋" w:eastAsia="宋体" w:cs="仿宋"/>
          <w:b/>
          <w:bCs/>
          <w:color w:val="auto"/>
          <w:sz w:val="24"/>
          <w:szCs w:val="20"/>
          <w:lang w:val="en-US"/>
        </w:rPr>
      </w:pPr>
      <w:r>
        <w:rPr>
          <w:rFonts w:hint="eastAsia" w:ascii="仿宋" w:hAnsi="仿宋" w:eastAsia="仿宋" w:cs="仿宋"/>
          <w:b/>
          <w:bCs/>
          <w:color w:val="auto"/>
          <w:kern w:val="2"/>
          <w:sz w:val="24"/>
          <w:szCs w:val="20"/>
          <w:lang w:val="en-US" w:eastAsia="zh-CN" w:bidi="ar"/>
        </w:rPr>
        <w:t>第五条  等级告知与复评</w:t>
      </w:r>
    </w:p>
    <w:p w14:paraId="1F89774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5.1乙方应当将信用等级结果告知甲方，若甲方对信用等级有异议，应在监管规定时间内向乙方书面申请复评，并向乙方提供充分的补充资料。甲方未按本合同规定提交书面复评申请或补充资料的，视为甲方对信用评级报告内容及评级结果无异议。</w:t>
      </w:r>
    </w:p>
    <w:p w14:paraId="4E7C3F9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color w:val="auto"/>
          <w:kern w:val="0"/>
          <w:lang w:val="en-US"/>
        </w:rPr>
      </w:pPr>
      <w:r>
        <w:rPr>
          <w:rFonts w:hint="eastAsia" w:ascii="仿宋" w:hAnsi="仿宋" w:eastAsia="仿宋" w:cs="仿宋"/>
          <w:color w:val="auto"/>
          <w:kern w:val="2"/>
          <w:sz w:val="24"/>
          <w:szCs w:val="22"/>
          <w:lang w:val="en-US" w:eastAsia="zh-CN" w:bidi="ar"/>
        </w:rPr>
        <w:t>5.2</w:t>
      </w:r>
      <w:r>
        <w:rPr>
          <w:rFonts w:hint="eastAsia" w:ascii="仿宋" w:hAnsi="仿宋" w:eastAsia="仿宋" w:cs="仿宋"/>
          <w:color w:val="auto"/>
          <w:kern w:val="2"/>
          <w:sz w:val="24"/>
          <w:szCs w:val="20"/>
          <w:lang w:val="en-US" w:eastAsia="zh-CN" w:bidi="ar"/>
        </w:rPr>
        <w:t>乙方有权决定是否同意接受甲方复评申请并应将结果告知甲方</w:t>
      </w:r>
      <w:r>
        <w:rPr>
          <w:rFonts w:hint="eastAsia" w:ascii="Times New Roman" w:hAnsi="Times New Roman" w:eastAsia="宋体" w:cs="宋体"/>
          <w:color w:val="auto"/>
          <w:kern w:val="2"/>
          <w:sz w:val="21"/>
          <w:szCs w:val="20"/>
          <w:lang w:val="en-US" w:eastAsia="zh-CN" w:bidi="ar"/>
        </w:rPr>
        <w:t>。</w:t>
      </w:r>
    </w:p>
    <w:p w14:paraId="44D4C7A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color w:val="auto"/>
          <w:kern w:val="0"/>
          <w:lang w:val="en-US"/>
        </w:rPr>
      </w:pPr>
      <w:r>
        <w:rPr>
          <w:rFonts w:hint="eastAsia" w:ascii="仿宋" w:hAnsi="仿宋" w:eastAsia="仿宋" w:cs="仿宋"/>
          <w:color w:val="auto"/>
          <w:kern w:val="2"/>
          <w:sz w:val="24"/>
          <w:szCs w:val="20"/>
          <w:lang w:val="en-US" w:eastAsia="zh-CN" w:bidi="ar"/>
        </w:rPr>
        <w:t>5.3复评仅限一次，复评结果为最终评级结果。</w:t>
      </w:r>
    </w:p>
    <w:p w14:paraId="5C4C056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outlineLvl w:val="0"/>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第六条  信息披露及保密</w:t>
      </w:r>
    </w:p>
    <w:p w14:paraId="3EEFC7A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rPr>
      </w:pPr>
      <w:r>
        <w:rPr>
          <w:rFonts w:hint="eastAsia" w:ascii="仿宋" w:hAnsi="仿宋" w:eastAsia="仿宋" w:cs="仿宋"/>
          <w:color w:val="auto"/>
          <w:kern w:val="0"/>
          <w:sz w:val="24"/>
          <w:szCs w:val="20"/>
          <w:lang w:eastAsia="zh-CN" w:bidi="ar"/>
        </w:rPr>
        <w:t>6.1乙方应在正式出具信用评级报告以及主体信用等级有效期内的相关公告或评级意见提前告知甲方，最终由乙方确定评级报告等文件的内容。如监管机构有信息披露要求的，则乙方有权通过乙方网站和监管机构规定的其他网站及媒体向社会公布。</w:t>
      </w:r>
    </w:p>
    <w:p w14:paraId="2A05AD09">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rPr>
      </w:pPr>
      <w:r>
        <w:rPr>
          <w:rFonts w:hint="eastAsia" w:ascii="仿宋" w:hAnsi="仿宋" w:eastAsia="仿宋" w:cs="仿宋"/>
          <w:color w:val="auto"/>
          <w:kern w:val="0"/>
          <w:sz w:val="24"/>
          <w:szCs w:val="20"/>
          <w:lang w:eastAsia="zh-CN" w:bidi="ar"/>
        </w:rPr>
        <w:t>6.2若甲方自行公告评级报告或评级意见，须至少提前两个工作日通知乙方，并经乙方确认后方可公告。</w:t>
      </w:r>
    </w:p>
    <w:p w14:paraId="1B733975">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rPr>
      </w:pPr>
      <w:r>
        <w:rPr>
          <w:rFonts w:hint="eastAsia" w:ascii="仿宋" w:hAnsi="仿宋" w:eastAsia="仿宋" w:cs="仿宋"/>
          <w:color w:val="auto"/>
          <w:kern w:val="0"/>
          <w:sz w:val="24"/>
          <w:szCs w:val="20"/>
          <w:lang w:eastAsia="zh-CN" w:bidi="ar"/>
        </w:rPr>
        <w:t>6.3甲方和乙方应对因签署或履行本合同而知悉的与对方相关的、不为公众所知悉的所有信息，以及本合同条款内容和相关谈判信息予以保密。</w:t>
      </w:r>
    </w:p>
    <w:p w14:paraId="327780F2">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rPr>
      </w:pPr>
      <w:r>
        <w:rPr>
          <w:rFonts w:hint="eastAsia" w:ascii="仿宋" w:hAnsi="仿宋" w:eastAsia="仿宋" w:cs="仿宋"/>
          <w:color w:val="auto"/>
          <w:kern w:val="0"/>
          <w:sz w:val="24"/>
          <w:szCs w:val="20"/>
          <w:lang w:eastAsia="zh-CN" w:bidi="ar"/>
        </w:rPr>
        <w:t>6.4保密期限自知悉保密信息之日起，至本合同终止之日起3年止，或者至保密信息被依法披露为公知信息之日止，以更早的时点为准。</w:t>
      </w:r>
    </w:p>
    <w:p w14:paraId="1AD85C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6.5未经对方书面同意，一方不得以任何方式向他人披露对方的保密信息，但因相关法律法规、监管规定或行业规范要求披露的除外。</w:t>
      </w:r>
    </w:p>
    <w:p w14:paraId="26BA079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rPr>
          <w:rFonts w:hint="eastAsia" w:ascii="仿宋" w:hAnsi="仿宋" w:eastAsia="仿宋" w:cs="仿宋"/>
          <w:b/>
          <w:bCs/>
          <w:color w:val="auto"/>
          <w:sz w:val="24"/>
          <w:szCs w:val="20"/>
          <w:lang w:val="en-US"/>
        </w:rPr>
      </w:pPr>
      <w:r>
        <w:rPr>
          <w:rFonts w:hint="eastAsia" w:ascii="仿宋" w:hAnsi="仿宋" w:eastAsia="仿宋" w:cs="仿宋"/>
          <w:b/>
          <w:bCs/>
          <w:color w:val="auto"/>
          <w:kern w:val="2"/>
          <w:sz w:val="24"/>
          <w:szCs w:val="20"/>
          <w:lang w:val="en-US" w:eastAsia="zh-CN" w:bidi="ar"/>
        </w:rPr>
        <w:t>第七条  责任限制</w:t>
      </w:r>
    </w:p>
    <w:p w14:paraId="7BD3BF5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7.1乙方对由甲方或其他相关第三方提供给乙方的信息或资料的真实性、准确性、完整性和及时性不作任何保证或给予任何其他担保(无论是对甲方或任何第三方)。</w:t>
      </w:r>
    </w:p>
    <w:p w14:paraId="0EED3CA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b/>
          <w:bCs w:val="0"/>
          <w:color w:val="auto"/>
          <w:sz w:val="24"/>
          <w:szCs w:val="22"/>
          <w:lang w:val="en-US"/>
        </w:rPr>
      </w:pPr>
      <w:r>
        <w:rPr>
          <w:rFonts w:hint="eastAsia" w:ascii="仿宋" w:hAnsi="仿宋" w:eastAsia="仿宋" w:cs="仿宋"/>
          <w:color w:val="auto"/>
          <w:kern w:val="2"/>
          <w:sz w:val="24"/>
          <w:szCs w:val="20"/>
          <w:lang w:val="en-US" w:eastAsia="zh-CN" w:bidi="ar"/>
        </w:rPr>
        <w:t>7.2在任何情况下，乙方均不应因依法合规地履行本合同、出具评级结果及信用评级报告及发生本合同第9.1条情形而对甲方或其他任何第三方承担任何赔偿责任。由于甲方向乙方提供的信息或资料存在瑕疵（如不真实、不准确、不完整、不及时或存在隐瞒、遗漏和误导的）而导致乙方的评级结果或信用评级报告不准确或发生任何争议或索赔，乙方对此不承担任何责任(无论是对甲方或任何第三方)。但是本合同第7.2条的上述规定不适用于由于乙方或其雇员的任何欺诈、不诚实或有意的不法行为所导致的任何索赔。</w:t>
      </w:r>
    </w:p>
    <w:p w14:paraId="2BEFA17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outlineLvl w:val="0"/>
        <w:rPr>
          <w:rFonts w:hint="eastAsia" w:ascii="仿宋" w:hAnsi="仿宋" w:eastAsia="仿宋" w:cs="仿宋"/>
          <w:b/>
          <w:bCs w:val="0"/>
          <w:color w:val="auto"/>
          <w:sz w:val="24"/>
          <w:szCs w:val="22"/>
          <w:lang w:val="en-US"/>
        </w:rPr>
      </w:pPr>
      <w:r>
        <w:rPr>
          <w:rFonts w:hint="eastAsia" w:ascii="仿宋" w:hAnsi="仿宋" w:eastAsia="仿宋" w:cs="仿宋"/>
          <w:b/>
          <w:bCs w:val="0"/>
          <w:color w:val="auto"/>
          <w:kern w:val="2"/>
          <w:sz w:val="24"/>
          <w:szCs w:val="22"/>
          <w:lang w:val="en-US" w:eastAsia="zh-CN" w:bidi="ar"/>
        </w:rPr>
        <w:t>第八条  违约责任</w:t>
      </w:r>
    </w:p>
    <w:p w14:paraId="0C4553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8.1</w:t>
      </w:r>
      <w:r>
        <w:rPr>
          <w:rFonts w:hint="eastAsia" w:ascii="仿宋" w:hAnsi="仿宋" w:eastAsia="仿宋" w:cs="仿宋"/>
          <w:color w:val="auto"/>
          <w:kern w:val="2"/>
          <w:sz w:val="24"/>
          <w:szCs w:val="24"/>
          <w:lang w:val="en-US" w:eastAsia="zh-CN" w:bidi="ar"/>
        </w:rPr>
        <w:t>一方</w:t>
      </w:r>
      <w:bookmarkStart w:id="0" w:name="OLE_LINK1"/>
      <w:r>
        <w:rPr>
          <w:rFonts w:hint="eastAsia" w:ascii="仿宋" w:hAnsi="仿宋" w:eastAsia="仿宋" w:cs="仿宋"/>
          <w:color w:val="auto"/>
          <w:kern w:val="2"/>
          <w:sz w:val="24"/>
          <w:szCs w:val="24"/>
          <w:lang w:val="en-US" w:eastAsia="zh-CN" w:bidi="ar"/>
        </w:rPr>
        <w:t>未履行或未按约定履行本合同义务</w:t>
      </w:r>
      <w:bookmarkEnd w:id="0"/>
      <w:r>
        <w:rPr>
          <w:rFonts w:hint="eastAsia" w:ascii="仿宋" w:hAnsi="仿宋" w:eastAsia="仿宋" w:cs="仿宋"/>
          <w:color w:val="auto"/>
          <w:kern w:val="2"/>
          <w:sz w:val="24"/>
          <w:szCs w:val="24"/>
          <w:lang w:val="en-US" w:eastAsia="zh-CN" w:bidi="ar"/>
        </w:rPr>
        <w:t>，构成违约，</w:t>
      </w:r>
      <w:r>
        <w:rPr>
          <w:rFonts w:hint="eastAsia" w:ascii="仿宋" w:hAnsi="仿宋" w:eastAsia="仿宋" w:cs="仿宋"/>
          <w:color w:val="auto"/>
          <w:kern w:val="2"/>
          <w:sz w:val="24"/>
          <w:szCs w:val="20"/>
          <w:lang w:val="en-US" w:eastAsia="zh-CN" w:bidi="ar"/>
        </w:rPr>
        <w:t>应当向对方承担违约责任。</w:t>
      </w:r>
    </w:p>
    <w:p w14:paraId="287388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8.2如因可归责于乙方的原因导致乙方未能向甲方提交信用评级报告，甲方对此无过错的，甲方有权解除合同，乙方应退还甲方已支付的合同价款，并向甲方支付评级费用的5%作为违约金；如因甲方的原因导致乙方未能完成委托事项，乙方无需承担违约责任。乙方完成相应委托事项后，不予退还已收取的评级费用。</w:t>
      </w:r>
    </w:p>
    <w:p w14:paraId="3DD7BA2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8.3如甲方无正当理由未及时向乙方支付评级费用，每逾期一天，甲方应向乙方支付评级费用总额的万分之一作为违约金，违约金总额最多不超过合同价的5%。</w:t>
      </w:r>
    </w:p>
    <w:p w14:paraId="03D0574F">
      <w:pPr>
        <w:pStyle w:val="30"/>
        <w:keepNext w:val="0"/>
        <w:keepLines w:val="0"/>
        <w:pageBreakBefore w:val="0"/>
        <w:widowControl/>
        <w:numPr>
          <w:ilvl w:val="3"/>
          <w:numId w:val="0"/>
        </w:numPr>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460" w:lineRule="exact"/>
        <w:ind w:left="0" w:right="0" w:firstLine="504" w:firstLineChars="200"/>
        <w:textAlignment w:val="auto"/>
        <w:rPr>
          <w:rFonts w:hint="eastAsia" w:ascii="仿宋" w:hAnsi="仿宋" w:eastAsia="仿宋" w:cs="仿宋"/>
          <w:color w:val="auto"/>
          <w:w w:val="105"/>
          <w:kern w:val="20"/>
          <w:lang w:val="en-US" w:eastAsia="zh-CN"/>
        </w:rPr>
      </w:pPr>
      <w:r>
        <w:rPr>
          <w:rFonts w:hint="eastAsia" w:ascii="仿宋" w:hAnsi="仿宋" w:eastAsia="仿宋" w:cs="仿宋"/>
          <w:color w:val="auto"/>
          <w:w w:val="105"/>
          <w:kern w:val="20"/>
          <w:lang w:val="en-US" w:eastAsia="zh-CN"/>
        </w:rPr>
        <w:t>8.4一方违约导致对方无法继续履行本合同的，对方有权以通知的方式解除本合同。</w:t>
      </w:r>
    </w:p>
    <w:p w14:paraId="422CCE7B">
      <w:pPr>
        <w:pStyle w:val="30"/>
        <w:keepNext w:val="0"/>
        <w:keepLines w:val="0"/>
        <w:pageBreakBefore w:val="0"/>
        <w:widowControl/>
        <w:numPr>
          <w:ilvl w:val="3"/>
          <w:numId w:val="0"/>
        </w:numPr>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460" w:lineRule="exact"/>
        <w:ind w:left="0" w:right="0" w:firstLine="504" w:firstLineChars="200"/>
        <w:textAlignment w:val="auto"/>
        <w:rPr>
          <w:rFonts w:hint="eastAsia" w:ascii="仿宋" w:hAnsi="仿宋" w:eastAsia="仿宋" w:cs="仿宋"/>
          <w:color w:val="auto"/>
          <w:w w:val="105"/>
          <w:kern w:val="20"/>
          <w:lang w:val="en-US" w:eastAsia="zh-CN"/>
        </w:rPr>
      </w:pPr>
      <w:r>
        <w:rPr>
          <w:rFonts w:hint="eastAsia" w:ascii="仿宋" w:hAnsi="仿宋" w:eastAsia="仿宋" w:cs="仿宋"/>
          <w:color w:val="auto"/>
          <w:w w:val="105"/>
          <w:kern w:val="20"/>
          <w:lang w:val="en-US" w:eastAsia="zh-CN"/>
        </w:rPr>
        <w:t>8.5如因一方</w:t>
      </w:r>
      <w:r>
        <w:rPr>
          <w:rFonts w:hint="eastAsia" w:ascii="仿宋" w:hAnsi="仿宋" w:eastAsia="仿宋" w:cs="仿宋"/>
          <w:bCs/>
          <w:color w:val="auto"/>
          <w:lang w:eastAsia="zh-CN"/>
        </w:rPr>
        <w:t>未履行或未按约定履行本合同义务</w:t>
      </w:r>
      <w:r>
        <w:rPr>
          <w:rFonts w:hint="eastAsia" w:ascii="仿宋" w:hAnsi="仿宋" w:eastAsia="仿宋" w:cs="仿宋"/>
          <w:color w:val="auto"/>
          <w:w w:val="105"/>
          <w:kern w:val="20"/>
          <w:lang w:val="en-US" w:eastAsia="zh-CN"/>
        </w:rPr>
        <w:t>，使另一方遭受到任何第三方的索赔或任何行政管理部门的处罚，该违约方应对另一方的实际损失承担赔偿责任，赔偿的最高金额不超过本合同标的金额。</w:t>
      </w:r>
    </w:p>
    <w:p w14:paraId="719D167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04" w:firstLineChars="200"/>
        <w:jc w:val="both"/>
        <w:textAlignment w:val="auto"/>
        <w:outlineLvl w:val="0"/>
        <w:rPr>
          <w:rFonts w:hint="eastAsia" w:ascii="仿宋" w:hAnsi="仿宋" w:eastAsia="仿宋" w:cs="仿宋"/>
          <w:smallCaps/>
          <w:color w:val="auto"/>
          <w:w w:val="105"/>
          <w:kern w:val="20"/>
          <w:sz w:val="24"/>
          <w:szCs w:val="22"/>
          <w:lang w:val="en-US"/>
        </w:rPr>
      </w:pPr>
      <w:r>
        <w:rPr>
          <w:rFonts w:hint="eastAsia" w:ascii="仿宋" w:hAnsi="仿宋" w:eastAsia="仿宋" w:cs="仿宋"/>
          <w:smallCaps/>
          <w:color w:val="auto"/>
          <w:w w:val="105"/>
          <w:kern w:val="20"/>
          <w:sz w:val="24"/>
          <w:szCs w:val="22"/>
          <w:lang w:val="en-US" w:eastAsia="zh-CN" w:bidi="ar"/>
        </w:rPr>
        <w:t>8.6因不可抗力导致本合同无法履行或迟延履行的，双方对无法履行或迟延履行义务不承担任何责任，但任何一方迟延履行后发生不可抗力的，该方的责任不能免除。同时，遭受不可抗力的一方应立即用可能的快捷方式通知对方，并在十五日内提供书面文件说明相关事件的细节和不能履行或部分不能履行或需迟延履行本合同的原因。双方应在协商一致的基础上就是否延期履行或终止履行达成书面协议。</w:t>
      </w:r>
    </w:p>
    <w:p w14:paraId="57D4F0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b/>
          <w:bCs/>
          <w:color w:val="auto"/>
          <w:kern w:val="2"/>
          <w:sz w:val="24"/>
          <w:szCs w:val="20"/>
          <w:lang w:val="en-US" w:eastAsia="zh-CN" w:bidi="ar"/>
        </w:rPr>
        <w:t>第九条 终止评级</w:t>
      </w:r>
    </w:p>
    <w:p w14:paraId="61EBEC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rPr>
          <w:rFonts w:hint="eastAsia" w:ascii="仿宋" w:hAnsi="仿宋" w:eastAsia="仿宋" w:cs="仿宋"/>
          <w:b/>
          <w:bCs/>
          <w:color w:val="auto"/>
          <w:sz w:val="24"/>
          <w:szCs w:val="20"/>
          <w:lang w:val="en-US"/>
        </w:rPr>
      </w:pPr>
      <w:r>
        <w:rPr>
          <w:rFonts w:hint="eastAsia" w:ascii="仿宋" w:hAnsi="仿宋" w:eastAsia="仿宋" w:cs="仿宋"/>
          <w:b/>
          <w:bCs/>
          <w:color w:val="auto"/>
          <w:kern w:val="2"/>
          <w:sz w:val="24"/>
          <w:szCs w:val="20"/>
          <w:lang w:val="en-US" w:eastAsia="zh-CN" w:bidi="ar"/>
        </w:rPr>
        <w:t>9.1发生下列情形之一的，乙方有权终止评级并不退还评级费用：</w:t>
      </w:r>
    </w:p>
    <w:p w14:paraId="64B2903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9.1.1受评对象因被收购兼并、重组等，导致受评级对象不再存续的，或解散或者被依法宣告破产的；</w:t>
      </w:r>
    </w:p>
    <w:p w14:paraId="3A0929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9.1.2资料提供人拒不提供评级所需关键材料或故意提供存在虚假记载、误导性陈述或重大遗漏的材料的；</w:t>
      </w:r>
    </w:p>
    <w:p w14:paraId="0882F89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9.1.3甲方以不正当方式干扰乙方开展尽职调查，导致乙方无法获取评级所需关键材料的；</w:t>
      </w:r>
    </w:p>
    <w:p w14:paraId="4610DB1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9.1.4甲方或受评对象以任何方式严重影响乙方的评级过程和评级结果的；</w:t>
      </w:r>
    </w:p>
    <w:p w14:paraId="0E499B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smallCaps/>
          <w:color w:val="auto"/>
          <w:w w:val="105"/>
          <w:kern w:val="20"/>
          <w:sz w:val="24"/>
          <w:szCs w:val="22"/>
          <w:lang w:val="en-US"/>
        </w:rPr>
      </w:pPr>
      <w:r>
        <w:rPr>
          <w:rFonts w:hint="eastAsia" w:ascii="仿宋" w:hAnsi="仿宋" w:eastAsia="仿宋" w:cs="仿宋"/>
          <w:color w:val="auto"/>
          <w:kern w:val="2"/>
          <w:sz w:val="24"/>
          <w:szCs w:val="20"/>
          <w:lang w:val="en-US" w:eastAsia="zh-CN" w:bidi="ar"/>
        </w:rPr>
        <w:t>9.1.5甲方原因导致评级工作不能正常开展的其他情形。</w:t>
      </w:r>
    </w:p>
    <w:p w14:paraId="108CE4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outlineLvl w:val="0"/>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第十条  争议解决</w:t>
      </w:r>
    </w:p>
    <w:p w14:paraId="1CE67770">
      <w:pPr>
        <w:pStyle w:val="30"/>
        <w:keepNext w:val="0"/>
        <w:keepLines w:val="0"/>
        <w:pageBreakBefore w:val="0"/>
        <w:widowControl/>
        <w:numPr>
          <w:ilvl w:val="3"/>
          <w:numId w:val="0"/>
        </w:numPr>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460" w:lineRule="exact"/>
        <w:ind w:left="0" w:right="0" w:firstLine="504" w:firstLineChars="200"/>
        <w:textAlignment w:val="auto"/>
        <w:rPr>
          <w:rFonts w:hint="eastAsia" w:ascii="仿宋" w:hAnsi="仿宋" w:eastAsia="仿宋" w:cs="仿宋"/>
          <w:color w:val="auto"/>
          <w:w w:val="105"/>
          <w:kern w:val="20"/>
          <w:lang w:val="en-US" w:eastAsia="zh-CN"/>
        </w:rPr>
      </w:pPr>
      <w:bookmarkStart w:id="1" w:name="_Toc309394623"/>
      <w:bookmarkStart w:id="2" w:name="_Toc309387982"/>
      <w:bookmarkStart w:id="3" w:name="_Toc309732436"/>
      <w:bookmarkStart w:id="4" w:name="_Toc309657019"/>
      <w:bookmarkStart w:id="5" w:name="_Toc309739076"/>
      <w:bookmarkStart w:id="6" w:name="_Toc309722689"/>
      <w:bookmarkStart w:id="7" w:name="_Toc309656884"/>
      <w:bookmarkStart w:id="8" w:name="_Toc309401378"/>
      <w:r>
        <w:rPr>
          <w:rFonts w:hint="eastAsia" w:ascii="仿宋" w:hAnsi="仿宋" w:eastAsia="仿宋" w:cs="仿宋"/>
          <w:color w:val="auto"/>
          <w:w w:val="105"/>
          <w:kern w:val="20"/>
          <w:lang w:val="en-US" w:eastAsia="zh-CN"/>
        </w:rPr>
        <w:t>10.1因履行本合同引发的任何争议，甲乙双方应当友好协商解决。</w:t>
      </w:r>
      <w:bookmarkEnd w:id="1"/>
      <w:bookmarkEnd w:id="2"/>
      <w:bookmarkEnd w:id="3"/>
      <w:bookmarkEnd w:id="4"/>
      <w:bookmarkEnd w:id="5"/>
      <w:bookmarkEnd w:id="6"/>
      <w:bookmarkEnd w:id="7"/>
      <w:bookmarkEnd w:id="8"/>
      <w:bookmarkStart w:id="9" w:name="_Toc309394624"/>
      <w:bookmarkStart w:id="10" w:name="_Toc309722690"/>
      <w:bookmarkStart w:id="11" w:name="_Toc309656885"/>
      <w:bookmarkStart w:id="12" w:name="_Toc309401379"/>
      <w:bookmarkStart w:id="13" w:name="_Toc309739077"/>
      <w:bookmarkStart w:id="14" w:name="_Toc309387983"/>
      <w:bookmarkStart w:id="15" w:name="_Toc309657020"/>
      <w:bookmarkStart w:id="16" w:name="_Toc309732437"/>
    </w:p>
    <w:p w14:paraId="3BD453BD">
      <w:pPr>
        <w:pStyle w:val="30"/>
        <w:keepNext w:val="0"/>
        <w:keepLines w:val="0"/>
        <w:pageBreakBefore w:val="0"/>
        <w:widowControl/>
        <w:numPr>
          <w:ilvl w:val="3"/>
          <w:numId w:val="0"/>
        </w:numPr>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460" w:lineRule="exact"/>
        <w:ind w:left="0" w:right="0" w:firstLine="504" w:firstLineChars="200"/>
        <w:textAlignment w:val="auto"/>
        <w:rPr>
          <w:rFonts w:hint="eastAsia" w:ascii="仿宋" w:hAnsi="仿宋" w:eastAsia="仿宋" w:cs="仿宋"/>
          <w:color w:val="auto"/>
          <w:w w:val="105"/>
          <w:kern w:val="20"/>
          <w:lang w:val="en-US" w:eastAsia="zh-CN"/>
        </w:rPr>
      </w:pPr>
      <w:r>
        <w:rPr>
          <w:rFonts w:hint="eastAsia" w:ascii="仿宋" w:hAnsi="仿宋" w:eastAsia="仿宋" w:cs="仿宋"/>
          <w:color w:val="auto"/>
          <w:w w:val="105"/>
          <w:kern w:val="20"/>
          <w:lang w:val="en-US" w:eastAsia="zh-CN"/>
        </w:rPr>
        <w:t>10.2如果一方向对方送达了具有协商内容的书面通知超过60天，争议仍未解决，则任何一方均有权向甲方所在地有管辖权的人民法院提起诉讼。</w:t>
      </w:r>
      <w:bookmarkEnd w:id="9"/>
      <w:bookmarkEnd w:id="10"/>
      <w:bookmarkEnd w:id="11"/>
      <w:bookmarkEnd w:id="12"/>
      <w:bookmarkEnd w:id="13"/>
      <w:bookmarkEnd w:id="14"/>
      <w:bookmarkEnd w:id="15"/>
      <w:bookmarkEnd w:id="16"/>
    </w:p>
    <w:p w14:paraId="57ACA042">
      <w:pPr>
        <w:pStyle w:val="30"/>
        <w:keepNext w:val="0"/>
        <w:keepLines w:val="0"/>
        <w:pageBreakBefore w:val="0"/>
        <w:widowControl/>
        <w:numPr>
          <w:ilvl w:val="3"/>
          <w:numId w:val="0"/>
        </w:numPr>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460" w:lineRule="exact"/>
        <w:ind w:left="0" w:right="0" w:firstLine="506" w:firstLineChars="200"/>
        <w:textAlignment w:val="auto"/>
        <w:rPr>
          <w:rFonts w:hint="eastAsia" w:ascii="仿宋" w:hAnsi="仿宋" w:eastAsia="仿宋" w:cs="仿宋"/>
          <w:b/>
          <w:bCs/>
          <w:color w:val="auto"/>
          <w:w w:val="105"/>
          <w:kern w:val="20"/>
          <w:lang w:val="en-US" w:eastAsia="zh-CN"/>
        </w:rPr>
      </w:pPr>
      <w:r>
        <w:rPr>
          <w:rFonts w:hint="eastAsia" w:ascii="仿宋" w:hAnsi="仿宋" w:eastAsia="仿宋" w:cs="仿宋"/>
          <w:b/>
          <w:bCs/>
          <w:color w:val="auto"/>
          <w:w w:val="105"/>
          <w:kern w:val="20"/>
          <w:lang w:eastAsia="zh-CN"/>
        </w:rPr>
        <w:t>第</w:t>
      </w:r>
      <w:r>
        <w:rPr>
          <w:rFonts w:hint="eastAsia" w:ascii="仿宋" w:hAnsi="仿宋" w:eastAsia="仿宋" w:cs="仿宋"/>
          <w:b/>
          <w:bCs/>
          <w:color w:val="auto"/>
          <w:w w:val="105"/>
          <w:kern w:val="20"/>
          <w:lang w:val="en-US" w:eastAsia="zh-CN"/>
        </w:rPr>
        <w:t>十一</w:t>
      </w:r>
      <w:r>
        <w:rPr>
          <w:rFonts w:hint="eastAsia" w:ascii="仿宋" w:hAnsi="仿宋" w:eastAsia="仿宋" w:cs="仿宋"/>
          <w:b/>
          <w:bCs/>
          <w:color w:val="auto"/>
          <w:w w:val="105"/>
          <w:kern w:val="20"/>
          <w:lang w:eastAsia="zh-CN"/>
        </w:rPr>
        <w:t xml:space="preserve">条 </w:t>
      </w:r>
      <w:r>
        <w:rPr>
          <w:rFonts w:hint="eastAsia" w:ascii="仿宋" w:hAnsi="仿宋" w:eastAsia="仿宋" w:cs="仿宋"/>
          <w:b/>
          <w:bCs/>
          <w:color w:val="auto"/>
          <w:w w:val="105"/>
          <w:kern w:val="20"/>
          <w:lang w:val="en-US" w:eastAsia="zh-CN"/>
        </w:rPr>
        <w:t xml:space="preserve"> </w:t>
      </w:r>
      <w:r>
        <w:rPr>
          <w:rFonts w:hint="eastAsia" w:ascii="仿宋" w:hAnsi="仿宋" w:eastAsia="仿宋" w:cs="仿宋"/>
          <w:b/>
          <w:bCs/>
          <w:color w:val="auto"/>
          <w:w w:val="105"/>
          <w:kern w:val="20"/>
          <w:lang w:eastAsia="zh-CN"/>
        </w:rPr>
        <w:t>通知</w:t>
      </w:r>
      <w:r>
        <w:rPr>
          <w:rFonts w:hint="eastAsia" w:ascii="仿宋" w:hAnsi="仿宋" w:eastAsia="仿宋" w:cs="仿宋"/>
          <w:b/>
          <w:bCs/>
          <w:color w:val="auto"/>
          <w:w w:val="105"/>
          <w:kern w:val="20"/>
          <w:lang w:val="en-US" w:eastAsia="zh-CN"/>
        </w:rPr>
        <w:t>与</w:t>
      </w:r>
      <w:r>
        <w:rPr>
          <w:rFonts w:hint="eastAsia" w:ascii="仿宋" w:hAnsi="仿宋" w:eastAsia="仿宋" w:cs="仿宋"/>
          <w:b/>
          <w:bCs/>
          <w:color w:val="auto"/>
          <w:w w:val="105"/>
          <w:kern w:val="20"/>
          <w:lang w:eastAsia="zh-CN"/>
        </w:rPr>
        <w:t>送达</w:t>
      </w:r>
    </w:p>
    <w:p w14:paraId="1A114386">
      <w:pPr>
        <w:pStyle w:val="30"/>
        <w:keepNext w:val="0"/>
        <w:keepLines w:val="0"/>
        <w:pageBreakBefore w:val="0"/>
        <w:widowControl/>
        <w:numPr>
          <w:ilvl w:val="3"/>
          <w:numId w:val="0"/>
        </w:numPr>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460" w:lineRule="exact"/>
        <w:ind w:left="0" w:right="0" w:firstLine="504" w:firstLineChars="200"/>
        <w:textAlignment w:val="auto"/>
        <w:rPr>
          <w:rFonts w:hint="eastAsia" w:ascii="仿宋" w:hAnsi="仿宋" w:eastAsia="仿宋" w:cs="仿宋"/>
          <w:color w:val="auto"/>
          <w:w w:val="105"/>
          <w:kern w:val="20"/>
          <w:lang w:val="en-US" w:eastAsia="zh-CN"/>
        </w:rPr>
      </w:pPr>
      <w:r>
        <w:rPr>
          <w:rFonts w:hint="eastAsia" w:ascii="仿宋" w:hAnsi="仿宋" w:eastAsia="仿宋" w:cs="仿宋"/>
          <w:color w:val="auto"/>
          <w:w w:val="105"/>
          <w:kern w:val="20"/>
          <w:lang w:val="en-US" w:eastAsia="zh-CN"/>
        </w:rPr>
        <w:t>11.1本合同首部</w:t>
      </w:r>
      <w:r>
        <w:rPr>
          <w:rFonts w:hint="eastAsia" w:ascii="仿宋" w:hAnsi="仿宋" w:eastAsia="仿宋" w:cs="仿宋"/>
          <w:color w:val="auto"/>
          <w:w w:val="105"/>
          <w:kern w:val="20"/>
          <w:lang w:eastAsia="zh-CN"/>
        </w:rPr>
        <w:t>所列明的</w:t>
      </w:r>
      <w:r>
        <w:rPr>
          <w:rFonts w:hint="eastAsia" w:ascii="仿宋" w:hAnsi="仿宋" w:eastAsia="仿宋" w:cs="仿宋"/>
          <w:color w:val="auto"/>
          <w:w w:val="105"/>
          <w:kern w:val="20"/>
          <w:lang w:val="en-US" w:eastAsia="zh-CN"/>
        </w:rPr>
        <w:t>联系地址、联系人、联系电话、联系</w:t>
      </w:r>
      <w:r>
        <w:rPr>
          <w:rFonts w:hint="eastAsia" w:ascii="仿宋" w:hAnsi="仿宋" w:eastAsia="仿宋" w:cs="仿宋"/>
          <w:color w:val="auto"/>
          <w:w w:val="105"/>
          <w:kern w:val="20"/>
          <w:lang w:eastAsia="zh-CN"/>
        </w:rPr>
        <w:t>邮箱</w:t>
      </w:r>
      <w:r>
        <w:rPr>
          <w:rFonts w:hint="eastAsia" w:ascii="仿宋" w:hAnsi="仿宋" w:eastAsia="仿宋" w:cs="仿宋"/>
          <w:color w:val="auto"/>
          <w:w w:val="105"/>
          <w:kern w:val="20"/>
          <w:lang w:val="en-US" w:eastAsia="zh-CN"/>
        </w:rPr>
        <w:t>均为双方确认的有效接收地址、接收人、接收电话、接收邮箱</w:t>
      </w:r>
      <w:r>
        <w:rPr>
          <w:rFonts w:hint="eastAsia" w:ascii="仿宋" w:hAnsi="仿宋" w:eastAsia="仿宋" w:cs="仿宋"/>
          <w:color w:val="auto"/>
          <w:w w:val="105"/>
          <w:kern w:val="20"/>
          <w:lang w:eastAsia="zh-CN"/>
        </w:rPr>
        <w:t>。</w:t>
      </w:r>
      <w:r>
        <w:rPr>
          <w:rFonts w:hint="eastAsia" w:ascii="仿宋" w:hAnsi="仿宋" w:eastAsia="仿宋" w:cs="仿宋"/>
          <w:color w:val="auto"/>
          <w:w w:val="105"/>
          <w:kern w:val="20"/>
          <w:lang w:val="en-US" w:eastAsia="zh-CN"/>
        </w:rPr>
        <w:t>一方应通过该有效接收信息向对方送达通知、资料等</w:t>
      </w:r>
      <w:r>
        <w:rPr>
          <w:rFonts w:hint="eastAsia" w:ascii="仿宋" w:hAnsi="仿宋" w:eastAsia="仿宋" w:cs="仿宋"/>
          <w:color w:val="auto"/>
          <w:w w:val="105"/>
          <w:kern w:val="20"/>
          <w:lang w:eastAsia="zh-CN"/>
        </w:rPr>
        <w:t>。</w:t>
      </w:r>
    </w:p>
    <w:p w14:paraId="30D14011">
      <w:pPr>
        <w:pStyle w:val="30"/>
        <w:keepNext w:val="0"/>
        <w:keepLines w:val="0"/>
        <w:pageBreakBefore w:val="0"/>
        <w:widowControl/>
        <w:numPr>
          <w:ilvl w:val="3"/>
          <w:numId w:val="0"/>
        </w:numPr>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460" w:lineRule="exact"/>
        <w:ind w:left="0" w:right="0" w:firstLine="504" w:firstLineChars="200"/>
        <w:textAlignment w:val="auto"/>
        <w:rPr>
          <w:rFonts w:hint="eastAsia" w:ascii="仿宋" w:hAnsi="仿宋" w:eastAsia="仿宋" w:cs="仿宋"/>
          <w:color w:val="auto"/>
          <w:w w:val="105"/>
          <w:kern w:val="20"/>
          <w:lang w:val="en-US" w:eastAsia="zh-CN"/>
        </w:rPr>
      </w:pPr>
      <w:r>
        <w:rPr>
          <w:rFonts w:hint="eastAsia" w:ascii="仿宋" w:hAnsi="仿宋" w:eastAsia="仿宋" w:cs="仿宋"/>
          <w:color w:val="auto"/>
          <w:w w:val="105"/>
          <w:kern w:val="20"/>
          <w:lang w:val="en-US" w:eastAsia="zh-CN"/>
        </w:rPr>
        <w:t>11.2</w:t>
      </w:r>
      <w:r>
        <w:rPr>
          <w:rFonts w:hint="eastAsia" w:ascii="仿宋" w:hAnsi="仿宋" w:eastAsia="仿宋" w:cs="仿宋"/>
          <w:color w:val="auto"/>
          <w:w w:val="105"/>
          <w:kern w:val="20"/>
          <w:lang w:eastAsia="zh-CN"/>
        </w:rPr>
        <w:t>以当面交付方式送达的，</w:t>
      </w:r>
      <w:r>
        <w:rPr>
          <w:rFonts w:hint="eastAsia" w:ascii="仿宋" w:hAnsi="仿宋" w:eastAsia="仿宋" w:cs="仿宋"/>
          <w:color w:val="auto"/>
          <w:w w:val="105"/>
          <w:kern w:val="20"/>
          <w:lang w:val="en-US" w:eastAsia="zh-CN"/>
        </w:rPr>
        <w:t>接收</w:t>
      </w:r>
      <w:r>
        <w:rPr>
          <w:rFonts w:hint="eastAsia" w:ascii="仿宋" w:hAnsi="仿宋" w:eastAsia="仿宋" w:cs="仿宋"/>
          <w:color w:val="auto"/>
          <w:w w:val="105"/>
          <w:kern w:val="20"/>
          <w:lang w:eastAsia="zh-CN"/>
        </w:rPr>
        <w:t>之时视为送达；以电子邮件方式送达的，电子邮件</w:t>
      </w:r>
      <w:r>
        <w:rPr>
          <w:rFonts w:hint="eastAsia" w:ascii="仿宋" w:hAnsi="仿宋" w:eastAsia="仿宋" w:cs="仿宋"/>
          <w:color w:val="auto"/>
          <w:w w:val="105"/>
          <w:kern w:val="20"/>
          <w:lang w:val="en-US" w:eastAsia="zh-CN"/>
        </w:rPr>
        <w:t>到达接收邮箱时</w:t>
      </w:r>
      <w:r>
        <w:rPr>
          <w:rFonts w:hint="eastAsia" w:ascii="仿宋" w:hAnsi="仿宋" w:eastAsia="仿宋" w:cs="仿宋"/>
          <w:color w:val="auto"/>
          <w:w w:val="105"/>
          <w:kern w:val="20"/>
          <w:lang w:eastAsia="zh-CN"/>
        </w:rPr>
        <w:t>视为送达；以邮寄方式送达的，</w:t>
      </w:r>
      <w:r>
        <w:rPr>
          <w:rFonts w:hint="eastAsia" w:ascii="仿宋" w:hAnsi="仿宋" w:eastAsia="仿宋" w:cs="仿宋"/>
          <w:color w:val="auto"/>
          <w:w w:val="105"/>
          <w:kern w:val="20"/>
          <w:lang w:val="en-US" w:eastAsia="zh-CN"/>
        </w:rPr>
        <w:t>签收</w:t>
      </w:r>
      <w:r>
        <w:rPr>
          <w:rFonts w:hint="eastAsia" w:ascii="仿宋" w:hAnsi="仿宋" w:eastAsia="仿宋" w:cs="仿宋"/>
          <w:color w:val="auto"/>
          <w:w w:val="105"/>
          <w:kern w:val="20"/>
          <w:lang w:eastAsia="zh-CN"/>
        </w:rPr>
        <w:t>之时视为送达。</w:t>
      </w:r>
    </w:p>
    <w:p w14:paraId="5A4ECF9D">
      <w:pPr>
        <w:pStyle w:val="30"/>
        <w:keepNext w:val="0"/>
        <w:keepLines w:val="0"/>
        <w:pageBreakBefore w:val="0"/>
        <w:widowControl/>
        <w:numPr>
          <w:ilvl w:val="3"/>
          <w:numId w:val="0"/>
        </w:numPr>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460" w:lineRule="exact"/>
        <w:ind w:left="0" w:right="0" w:firstLine="504" w:firstLineChars="200"/>
        <w:textAlignment w:val="auto"/>
        <w:rPr>
          <w:rFonts w:hint="eastAsia" w:ascii="仿宋" w:hAnsi="仿宋" w:eastAsia="仿宋" w:cs="仿宋"/>
          <w:b/>
          <w:bCs/>
          <w:color w:val="auto"/>
          <w:w w:val="105"/>
          <w:kern w:val="20"/>
          <w:lang w:val="en-US" w:eastAsia="zh-CN"/>
        </w:rPr>
      </w:pPr>
      <w:r>
        <w:rPr>
          <w:rFonts w:hint="eastAsia" w:ascii="仿宋" w:hAnsi="仿宋" w:eastAsia="仿宋" w:cs="仿宋"/>
          <w:color w:val="auto"/>
          <w:w w:val="105"/>
          <w:kern w:val="20"/>
          <w:lang w:val="en-US" w:eastAsia="zh-CN"/>
        </w:rPr>
        <w:t>11.3</w:t>
      </w:r>
      <w:r>
        <w:rPr>
          <w:rFonts w:hint="eastAsia" w:ascii="仿宋" w:hAnsi="仿宋" w:eastAsia="仿宋" w:cs="仿宋"/>
          <w:color w:val="auto"/>
          <w:w w:val="105"/>
          <w:kern w:val="20"/>
          <w:lang w:eastAsia="zh-CN"/>
        </w:rPr>
        <w:t>一方</w:t>
      </w:r>
      <w:r>
        <w:rPr>
          <w:rFonts w:hint="eastAsia" w:ascii="仿宋" w:hAnsi="仿宋" w:eastAsia="仿宋" w:cs="仿宋"/>
          <w:color w:val="auto"/>
          <w:w w:val="105"/>
          <w:kern w:val="20"/>
          <w:lang w:val="en-US" w:eastAsia="zh-CN"/>
        </w:rPr>
        <w:t>变更上述接收信息，</w:t>
      </w:r>
      <w:r>
        <w:rPr>
          <w:rFonts w:hint="eastAsia" w:ascii="仿宋" w:hAnsi="仿宋" w:eastAsia="仿宋" w:cs="仿宋"/>
          <w:color w:val="auto"/>
          <w:w w:val="105"/>
          <w:kern w:val="20"/>
          <w:lang w:eastAsia="zh-CN"/>
        </w:rPr>
        <w:t>应当书面通知对方，</w:t>
      </w:r>
      <w:r>
        <w:rPr>
          <w:rFonts w:hint="eastAsia" w:ascii="仿宋" w:hAnsi="仿宋" w:eastAsia="仿宋" w:cs="仿宋"/>
          <w:color w:val="auto"/>
          <w:w w:val="105"/>
          <w:kern w:val="20"/>
          <w:lang w:val="en-US" w:eastAsia="zh-CN"/>
        </w:rPr>
        <w:t>否则对方通过原接收信息送达的，仍为有效送达</w:t>
      </w:r>
      <w:r>
        <w:rPr>
          <w:rFonts w:hint="eastAsia" w:ascii="仿宋" w:hAnsi="仿宋" w:eastAsia="仿宋" w:cs="仿宋"/>
          <w:color w:val="auto"/>
          <w:w w:val="105"/>
          <w:kern w:val="20"/>
          <w:lang w:eastAsia="zh-CN"/>
        </w:rPr>
        <w:t>。</w:t>
      </w:r>
    </w:p>
    <w:p w14:paraId="0B3EA7AA">
      <w:pPr>
        <w:pStyle w:val="30"/>
        <w:keepNext w:val="0"/>
        <w:keepLines w:val="0"/>
        <w:pageBreakBefore w:val="0"/>
        <w:widowControl/>
        <w:numPr>
          <w:ilvl w:val="3"/>
          <w:numId w:val="0"/>
        </w:numPr>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460" w:lineRule="exact"/>
        <w:ind w:left="0" w:right="0" w:firstLine="506" w:firstLineChars="200"/>
        <w:textAlignment w:val="auto"/>
        <w:rPr>
          <w:rFonts w:hint="eastAsia" w:ascii="仿宋" w:hAnsi="仿宋" w:eastAsia="仿宋" w:cs="仿宋"/>
          <w:b/>
          <w:bCs/>
          <w:color w:val="auto"/>
          <w:w w:val="105"/>
          <w:kern w:val="20"/>
          <w:lang w:val="en-US" w:eastAsia="zh-CN"/>
        </w:rPr>
      </w:pPr>
      <w:r>
        <w:rPr>
          <w:rFonts w:hint="eastAsia" w:ascii="仿宋" w:hAnsi="仿宋" w:eastAsia="仿宋" w:cs="仿宋"/>
          <w:b/>
          <w:bCs/>
          <w:color w:val="auto"/>
          <w:w w:val="105"/>
          <w:kern w:val="20"/>
          <w:lang w:val="en-US" w:eastAsia="zh-CN"/>
        </w:rPr>
        <w:t>第十二条   合同生效与终止</w:t>
      </w:r>
    </w:p>
    <w:p w14:paraId="43EB4C28">
      <w:pPr>
        <w:pStyle w:val="30"/>
        <w:keepNext w:val="0"/>
        <w:keepLines w:val="0"/>
        <w:pageBreakBefore w:val="0"/>
        <w:widowControl/>
        <w:numPr>
          <w:ilvl w:val="3"/>
          <w:numId w:val="0"/>
        </w:numPr>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460" w:lineRule="exact"/>
        <w:ind w:left="0" w:right="0" w:firstLine="504" w:firstLineChars="200"/>
        <w:textAlignment w:val="auto"/>
        <w:rPr>
          <w:rFonts w:hint="eastAsia" w:ascii="仿宋" w:hAnsi="仿宋" w:eastAsia="仿宋" w:cs="仿宋"/>
          <w:color w:val="auto"/>
          <w:w w:val="105"/>
          <w:kern w:val="20"/>
          <w:lang w:val="en-US" w:eastAsia="zh-CN"/>
        </w:rPr>
      </w:pPr>
      <w:r>
        <w:rPr>
          <w:rFonts w:hint="eastAsia" w:ascii="仿宋" w:hAnsi="仿宋" w:eastAsia="仿宋" w:cs="仿宋"/>
          <w:color w:val="auto"/>
          <w:w w:val="105"/>
          <w:kern w:val="20"/>
          <w:lang w:val="en-US" w:eastAsia="zh-CN"/>
        </w:rPr>
        <w:t>12.1</w:t>
      </w:r>
      <w:r>
        <w:rPr>
          <w:rFonts w:hint="eastAsia" w:ascii="仿宋" w:hAnsi="仿宋" w:eastAsia="仿宋" w:cs="仿宋"/>
          <w:color w:val="auto"/>
          <w:w w:val="105"/>
          <w:kern w:val="20"/>
          <w:lang w:eastAsia="zh-CN"/>
        </w:rPr>
        <w:t>本合同经双方法定代表人或授权代表签字</w:t>
      </w:r>
      <w:r>
        <w:rPr>
          <w:rFonts w:hint="eastAsia" w:ascii="仿宋" w:hAnsi="仿宋" w:eastAsia="仿宋" w:cs="仿宋"/>
          <w:color w:val="auto"/>
          <w:w w:val="105"/>
          <w:kern w:val="20"/>
          <w:lang w:val="en-US" w:eastAsia="zh-CN"/>
        </w:rPr>
        <w:t>或签章</w:t>
      </w:r>
      <w:r>
        <w:rPr>
          <w:rFonts w:hint="eastAsia" w:ascii="仿宋" w:hAnsi="仿宋" w:eastAsia="仿宋" w:cs="仿宋"/>
          <w:color w:val="auto"/>
          <w:w w:val="105"/>
          <w:kern w:val="20"/>
          <w:lang w:eastAsia="zh-CN"/>
        </w:rPr>
        <w:t>并加盖公章或合同专用章后生效。</w:t>
      </w:r>
    </w:p>
    <w:p w14:paraId="45D300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04" w:firstLineChars="200"/>
        <w:jc w:val="both"/>
        <w:textAlignment w:val="auto"/>
        <w:rPr>
          <w:rFonts w:hint="eastAsia" w:ascii="仿宋" w:hAnsi="仿宋" w:eastAsia="仿宋" w:cs="仿宋"/>
          <w:smallCaps/>
          <w:color w:val="auto"/>
          <w:w w:val="105"/>
          <w:kern w:val="20"/>
          <w:sz w:val="24"/>
          <w:szCs w:val="22"/>
          <w:lang w:val="en-US"/>
        </w:rPr>
      </w:pPr>
      <w:r>
        <w:rPr>
          <w:rFonts w:hint="eastAsia" w:ascii="仿宋" w:hAnsi="仿宋" w:eastAsia="仿宋" w:cs="仿宋"/>
          <w:smallCaps/>
          <w:color w:val="auto"/>
          <w:w w:val="105"/>
          <w:kern w:val="20"/>
          <w:sz w:val="24"/>
          <w:szCs w:val="22"/>
          <w:lang w:val="en-US" w:eastAsia="zh-CN" w:bidi="ar"/>
        </w:rPr>
        <w:t>12.2本合同自双方协商一致或评级报告有效期满之日终止；如未出具信用评级报告，则乙方终止评级之日为合同终止日。</w:t>
      </w:r>
    </w:p>
    <w:p w14:paraId="04E54EAC">
      <w:pPr>
        <w:pStyle w:val="30"/>
        <w:keepNext w:val="0"/>
        <w:keepLines w:val="0"/>
        <w:pageBreakBefore w:val="0"/>
        <w:widowControl/>
        <w:numPr>
          <w:ilvl w:val="3"/>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06" w:firstLineChars="200"/>
        <w:textAlignment w:val="auto"/>
        <w:rPr>
          <w:rFonts w:hint="eastAsia" w:ascii="仿宋" w:hAnsi="仿宋" w:eastAsia="仿宋" w:cs="仿宋"/>
          <w:b/>
          <w:bCs/>
          <w:color w:val="auto"/>
          <w:w w:val="105"/>
          <w:kern w:val="20"/>
          <w:lang w:val="en-US" w:eastAsia="zh-CN"/>
        </w:rPr>
      </w:pPr>
      <w:r>
        <w:rPr>
          <w:rFonts w:hint="eastAsia" w:ascii="仿宋" w:hAnsi="仿宋" w:eastAsia="仿宋" w:cs="仿宋"/>
          <w:b/>
          <w:bCs/>
          <w:color w:val="auto"/>
          <w:w w:val="105"/>
          <w:kern w:val="20"/>
          <w:lang w:val="en-US" w:eastAsia="zh-CN"/>
        </w:rPr>
        <w:t>第十三条   廉洁条款</w:t>
      </w:r>
    </w:p>
    <w:p w14:paraId="7378050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甲乙双方在履行合同义务时廉洁高效合作、双方工作人员廉洁从业，双方郑重承诺如下：</w:t>
      </w:r>
    </w:p>
    <w:p w14:paraId="3AC84D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b/>
          <w:bCs/>
          <w:color w:val="auto"/>
          <w:sz w:val="24"/>
          <w:szCs w:val="24"/>
          <w:lang w:val="en-US"/>
        </w:rPr>
      </w:pPr>
      <w:r>
        <w:rPr>
          <w:rFonts w:hint="eastAsia" w:ascii="仿宋" w:hAnsi="仿宋" w:eastAsia="仿宋" w:cs="仿宋"/>
          <w:color w:val="auto"/>
          <w:kern w:val="2"/>
          <w:sz w:val="24"/>
          <w:szCs w:val="24"/>
          <w:lang w:val="en-US" w:eastAsia="zh-CN" w:bidi="ar"/>
        </w:rPr>
        <w:t>13.1甲乙双方均不收受任何形式的商业贿赂，包括但不限于下列情形</w:t>
      </w:r>
      <w:r>
        <w:rPr>
          <w:rFonts w:hint="eastAsia" w:ascii="仿宋" w:hAnsi="仿宋" w:eastAsia="仿宋" w:cs="仿宋"/>
          <w:b/>
          <w:bCs/>
          <w:color w:val="auto"/>
          <w:kern w:val="2"/>
          <w:sz w:val="24"/>
          <w:szCs w:val="24"/>
          <w:lang w:val="en-US" w:eastAsia="zh-CN" w:bidi="ar"/>
        </w:rPr>
        <w:t>：</w:t>
      </w:r>
    </w:p>
    <w:p w14:paraId="57E878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13.1.1以任何方式向对方或其人员索要或接受现金、礼金、有价证券、支付凭证、购物卡、礼品、烟酒、贵重物品、回扣、好处费、感谢费、中介费、佣金等；</w:t>
      </w:r>
    </w:p>
    <w:p w14:paraId="5839C8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13.1.2以任何方式要求、暗示、接受对方或其人员在个人装修住房、子女升学、婚丧嫁娶、配偶或子女安排工作以及出国(境)、旅游时等提供方便或好处；</w:t>
      </w:r>
    </w:p>
    <w:p w14:paraId="7ACDE42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13.1.3参与对方或其人员提供、组织的宴请、赌博、健身、娱乐(包括但不限于营业性的歌厅、舞厅、KTV、夜总会、桑拿、按摩和高尔夫球等)等活动；</w:t>
      </w:r>
    </w:p>
    <w:p w14:paraId="3E2B0C9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13.1.4利用工作之便，接受、占用或以明显低于市场价格购买、租用对方或其人员提供的住房、交通工具、通信工具和高档办公用品等；</w:t>
      </w:r>
    </w:p>
    <w:p w14:paraId="6238EB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13.1.5在对方处报销应自行承担的任何费用。</w:t>
      </w:r>
    </w:p>
    <w:p w14:paraId="4987CA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13.2甲乙双方均不违规进行商务交往，包括但不限于下列情形：</w:t>
      </w:r>
    </w:p>
    <w:p w14:paraId="3EE693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　　13.2.1在非办公场所单独或未经批准会见对方或其人员，要求对方或其人员接送；</w:t>
      </w:r>
    </w:p>
    <w:p w14:paraId="60669BE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13.2.2利用职权或工作之便向对方或其人员提出与合作无关的事项或要求；</w:t>
      </w:r>
    </w:p>
    <w:p w14:paraId="55E5E3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13.2.3与对方或其人员通过第三方进行的任何形式的违规商务交往。</w:t>
      </w:r>
    </w:p>
    <w:p w14:paraId="30F8D7A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13.3甲乙双方均不谋取不正当利益，包括但不限于下列情形：</w:t>
      </w:r>
    </w:p>
    <w:p w14:paraId="0D06CCB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13.3.1与对方或其人员串通谋取不正当利益；</w:t>
      </w:r>
    </w:p>
    <w:p w14:paraId="7A9C8C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13.3.2利用职权或工作之便，为亲属或朋友谋取不正当利益；</w:t>
      </w:r>
    </w:p>
    <w:p w14:paraId="6E86C43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13.3.3利用属于对方的商业秘密谋取个人私利，或将其提供、泄漏给他人。</w:t>
      </w:r>
    </w:p>
    <w:p w14:paraId="3BDEDC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13.4甲乙双方承诺企业及其实际控制人不存在且未参与洗钱、恐怖融资、涉黑涉恶等违法犯罪行为，若发生上述事件将及时通报对方。</w:t>
      </w:r>
    </w:p>
    <w:p w14:paraId="1BC59F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13.5如一方违反上述廉洁承诺事项，情节严重的，构成违约。守约方有权终止或解除合同，并有权要求违约方承担违约责任、赔偿实际损失，赔偿的最高金额不超过本合同标的金额。</w:t>
      </w:r>
    </w:p>
    <w:p w14:paraId="53A85CC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13.6甲方如发现乙方工作人员存在上述违规情形的，可向乙方纪委举报。</w:t>
      </w:r>
    </w:p>
    <w:p w14:paraId="4035636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地址：</w:t>
      </w:r>
    </w:p>
    <w:p w14:paraId="589E99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电话：</w:t>
      </w:r>
    </w:p>
    <w:p w14:paraId="439768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仿宋" w:hAnsi="仿宋" w:eastAsia="仿宋" w:cs="仿宋"/>
          <w:color w:val="auto"/>
          <w:w w:val="105"/>
          <w:kern w:val="20"/>
          <w:lang w:val="en-US"/>
        </w:rPr>
      </w:pPr>
      <w:r>
        <w:rPr>
          <w:rFonts w:hint="eastAsia" w:ascii="仿宋" w:hAnsi="仿宋" w:eastAsia="仿宋" w:cs="仿宋"/>
          <w:color w:val="auto"/>
          <w:kern w:val="2"/>
          <w:sz w:val="24"/>
          <w:szCs w:val="24"/>
          <w:lang w:val="en-US" w:eastAsia="zh-CN" w:bidi="ar"/>
        </w:rPr>
        <w:t>邮箱：</w:t>
      </w:r>
    </w:p>
    <w:p w14:paraId="75F28F6D">
      <w:pPr>
        <w:pStyle w:val="30"/>
        <w:keepNext w:val="0"/>
        <w:keepLines w:val="0"/>
        <w:pageBreakBefore w:val="0"/>
        <w:widowControl/>
        <w:numPr>
          <w:ilvl w:val="3"/>
          <w:numId w:val="0"/>
        </w:numPr>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460" w:lineRule="exact"/>
        <w:ind w:left="0" w:right="0" w:firstLine="506" w:firstLineChars="200"/>
        <w:textAlignment w:val="auto"/>
        <w:rPr>
          <w:rFonts w:hint="eastAsia" w:ascii="仿宋" w:hAnsi="仿宋" w:eastAsia="仿宋" w:cs="仿宋"/>
          <w:b/>
          <w:bCs/>
          <w:color w:val="auto"/>
          <w:w w:val="105"/>
          <w:kern w:val="20"/>
          <w:lang w:val="en-US" w:eastAsia="zh-CN"/>
        </w:rPr>
      </w:pPr>
      <w:r>
        <w:rPr>
          <w:rFonts w:hint="eastAsia" w:ascii="仿宋" w:hAnsi="仿宋" w:eastAsia="仿宋" w:cs="仿宋"/>
          <w:b/>
          <w:bCs/>
          <w:color w:val="auto"/>
          <w:w w:val="105"/>
          <w:kern w:val="20"/>
          <w:lang w:val="en-US" w:eastAsia="zh-CN"/>
        </w:rPr>
        <w:t>第十四条  其他约定</w:t>
      </w:r>
    </w:p>
    <w:p w14:paraId="7E8B2BF3">
      <w:pPr>
        <w:pStyle w:val="30"/>
        <w:keepNext w:val="0"/>
        <w:keepLines w:val="0"/>
        <w:pageBreakBefore w:val="0"/>
        <w:widowControl/>
        <w:numPr>
          <w:ilvl w:val="3"/>
          <w:numId w:val="0"/>
        </w:numPr>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460" w:lineRule="exact"/>
        <w:ind w:left="0" w:right="0" w:firstLine="504" w:firstLineChars="200"/>
        <w:textAlignment w:val="auto"/>
        <w:rPr>
          <w:rFonts w:hint="eastAsia" w:ascii="仿宋" w:hAnsi="仿宋" w:eastAsia="仿宋" w:cs="仿宋"/>
          <w:color w:val="auto"/>
          <w:w w:val="105"/>
          <w:kern w:val="20"/>
          <w:lang w:val="en-US" w:eastAsia="zh-CN"/>
        </w:rPr>
      </w:pPr>
      <w:r>
        <w:rPr>
          <w:rFonts w:hint="eastAsia" w:ascii="仿宋" w:hAnsi="仿宋" w:eastAsia="仿宋" w:cs="仿宋"/>
          <w:color w:val="auto"/>
          <w:w w:val="105"/>
          <w:kern w:val="20"/>
          <w:lang w:val="en-US" w:eastAsia="zh-CN"/>
        </w:rPr>
        <w:t>14.1本合同未尽事宜由双方协商签订补充协议作为合同附件。</w:t>
      </w:r>
    </w:p>
    <w:p w14:paraId="705EAE48">
      <w:pPr>
        <w:pStyle w:val="30"/>
        <w:keepNext w:val="0"/>
        <w:keepLines w:val="0"/>
        <w:pageBreakBefore w:val="0"/>
        <w:widowControl/>
        <w:numPr>
          <w:ilvl w:val="3"/>
          <w:numId w:val="0"/>
        </w:numPr>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460" w:lineRule="exact"/>
        <w:ind w:left="0" w:right="0" w:firstLine="504" w:firstLineChars="200"/>
        <w:textAlignment w:val="auto"/>
        <w:rPr>
          <w:rFonts w:hint="eastAsia" w:ascii="仿宋" w:hAnsi="仿宋" w:eastAsia="仿宋" w:cs="仿宋"/>
          <w:color w:val="auto"/>
          <w:w w:val="105"/>
          <w:kern w:val="20"/>
          <w:lang w:val="en-US" w:eastAsia="zh-CN"/>
        </w:rPr>
      </w:pPr>
      <w:r>
        <w:rPr>
          <w:rFonts w:hint="eastAsia" w:ascii="仿宋" w:hAnsi="仿宋" w:eastAsia="仿宋" w:cs="仿宋"/>
          <w:color w:val="auto"/>
          <w:w w:val="105"/>
          <w:kern w:val="20"/>
          <w:lang w:val="en-US" w:eastAsia="zh-CN"/>
        </w:rPr>
        <w:t>14.2合同附件与本合同具有同等法律效力。</w:t>
      </w:r>
    </w:p>
    <w:p w14:paraId="459AE9AD">
      <w:pPr>
        <w:pStyle w:val="30"/>
        <w:keepNext w:val="0"/>
        <w:keepLines w:val="0"/>
        <w:pageBreakBefore w:val="0"/>
        <w:widowControl/>
        <w:numPr>
          <w:ilvl w:val="3"/>
          <w:numId w:val="0"/>
        </w:numPr>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460" w:lineRule="exact"/>
        <w:ind w:left="0" w:right="0" w:firstLine="504" w:firstLineChars="200"/>
        <w:textAlignment w:val="auto"/>
        <w:rPr>
          <w:rFonts w:hint="eastAsia" w:ascii="仿宋" w:hAnsi="仿宋" w:eastAsia="仿宋" w:cs="仿宋"/>
          <w:color w:val="auto"/>
          <w:w w:val="105"/>
          <w:kern w:val="20"/>
          <w:lang w:val="en-US" w:eastAsia="zh-CN"/>
        </w:rPr>
      </w:pPr>
      <w:r>
        <w:rPr>
          <w:rFonts w:hint="eastAsia" w:ascii="仿宋" w:hAnsi="仿宋" w:eastAsia="仿宋" w:cs="仿宋"/>
          <w:color w:val="auto"/>
          <w:w w:val="105"/>
          <w:kern w:val="20"/>
          <w:lang w:val="en-US" w:eastAsia="zh-CN"/>
        </w:rPr>
        <w:t>14.3</w:t>
      </w:r>
      <w:r>
        <w:rPr>
          <w:rFonts w:hint="eastAsia" w:ascii="仿宋" w:hAnsi="仿宋" w:eastAsia="仿宋" w:cs="仿宋"/>
          <w:color w:val="auto"/>
          <w:w w:val="105"/>
          <w:kern w:val="20"/>
          <w:lang w:eastAsia="zh-CN"/>
        </w:rPr>
        <w:t>本</w:t>
      </w:r>
      <w:r>
        <w:rPr>
          <w:rFonts w:hint="eastAsia" w:ascii="仿宋" w:hAnsi="仿宋" w:eastAsia="仿宋" w:cs="仿宋"/>
          <w:color w:val="auto"/>
          <w:w w:val="105"/>
          <w:kern w:val="20"/>
          <w:lang w:val="en-US" w:eastAsia="zh-CN"/>
        </w:rPr>
        <w:t>合同一式</w:t>
      </w:r>
      <w:r>
        <w:rPr>
          <w:rFonts w:hint="eastAsia" w:ascii="仿宋" w:hAnsi="仿宋" w:eastAsia="仿宋" w:cs="仿宋"/>
          <w:color w:val="auto"/>
          <w:w w:val="105"/>
          <w:kern w:val="20"/>
          <w:u w:val="single"/>
          <w:lang w:val="en-US" w:eastAsia="zh-CN"/>
        </w:rPr>
        <w:t xml:space="preserve"> 肆  </w:t>
      </w:r>
      <w:r>
        <w:rPr>
          <w:rFonts w:hint="eastAsia" w:ascii="仿宋" w:hAnsi="仿宋" w:eastAsia="仿宋" w:cs="仿宋"/>
          <w:color w:val="auto"/>
          <w:w w:val="105"/>
          <w:kern w:val="20"/>
          <w:lang w:val="en-US" w:eastAsia="zh-CN"/>
        </w:rPr>
        <w:t>份</w:t>
      </w:r>
      <w:r>
        <w:rPr>
          <w:rFonts w:hint="eastAsia" w:ascii="仿宋" w:hAnsi="仿宋" w:eastAsia="仿宋" w:cs="仿宋"/>
          <w:color w:val="auto"/>
          <w:w w:val="105"/>
          <w:kern w:val="20"/>
          <w:lang w:eastAsia="zh-CN"/>
        </w:rPr>
        <w:t>，双方各执</w:t>
      </w:r>
      <w:r>
        <w:rPr>
          <w:rFonts w:hint="eastAsia" w:ascii="仿宋" w:hAnsi="仿宋" w:eastAsia="仿宋" w:cs="仿宋"/>
          <w:color w:val="auto"/>
          <w:w w:val="105"/>
          <w:kern w:val="20"/>
          <w:u w:val="single"/>
          <w:lang w:val="en-US" w:eastAsia="zh-CN"/>
        </w:rPr>
        <w:t xml:space="preserve"> 贰  </w:t>
      </w:r>
      <w:r>
        <w:rPr>
          <w:rFonts w:hint="eastAsia" w:ascii="仿宋" w:hAnsi="仿宋" w:eastAsia="仿宋" w:cs="仿宋"/>
          <w:color w:val="auto"/>
          <w:w w:val="105"/>
          <w:kern w:val="20"/>
          <w:lang w:eastAsia="zh-CN"/>
        </w:rPr>
        <w:t>份，具有同等法律效力。</w:t>
      </w:r>
    </w:p>
    <w:p w14:paraId="053338E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420" w:leftChars="200" w:right="0"/>
        <w:jc w:val="both"/>
        <w:rPr>
          <w:rFonts w:hint="eastAsia" w:ascii="仿宋" w:hAnsi="仿宋" w:eastAsia="仿宋" w:cs="仿宋"/>
          <w:b/>
          <w:bCs/>
          <w:color w:val="auto"/>
          <w:w w:val="105"/>
          <w:kern w:val="20"/>
          <w:sz w:val="24"/>
          <w:szCs w:val="24"/>
          <w:lang w:val="en-US"/>
        </w:rPr>
      </w:pPr>
    </w:p>
    <w:p w14:paraId="56648FD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p>
    <w:p w14:paraId="79E86D5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甲方（盖章）： 河池市城乡建设投资集团有限公司</w:t>
      </w:r>
    </w:p>
    <w:p w14:paraId="58F5FE5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p>
    <w:p w14:paraId="1A3EC19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 xml:space="preserve">法定代表人（或授权代表）：    </w:t>
      </w:r>
    </w:p>
    <w:p w14:paraId="4D6C78F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p>
    <w:p w14:paraId="4769E99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经办人：</w:t>
      </w:r>
    </w:p>
    <w:p w14:paraId="338C981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 xml:space="preserve">      </w:t>
      </w:r>
    </w:p>
    <w:p w14:paraId="5925407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firstLine="759" w:firstLineChars="30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 xml:space="preserve">年   月  日    </w:t>
      </w:r>
    </w:p>
    <w:p w14:paraId="324EF18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p>
    <w:p w14:paraId="5F0B850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p>
    <w:p w14:paraId="79B59B2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乙方（盖章）：</w:t>
      </w:r>
    </w:p>
    <w:p w14:paraId="58F9C84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p>
    <w:p w14:paraId="0379248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 xml:space="preserve">法定代表人（或授权代表）：   </w:t>
      </w:r>
    </w:p>
    <w:p w14:paraId="21FFC79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p>
    <w:p w14:paraId="23F1451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 xml:space="preserve">经办人：   </w:t>
      </w:r>
    </w:p>
    <w:p w14:paraId="78F3B2F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 xml:space="preserve">       </w:t>
      </w:r>
    </w:p>
    <w:p w14:paraId="74E78DA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firstLine="759" w:firstLineChars="300"/>
        <w:jc w:val="both"/>
        <w:rPr>
          <w:color w:val="auto"/>
          <w:lang w:val="en-US"/>
        </w:rPr>
      </w:pPr>
      <w:r>
        <w:rPr>
          <w:rFonts w:hint="eastAsia" w:ascii="仿宋" w:hAnsi="仿宋" w:eastAsia="仿宋" w:cs="仿宋"/>
          <w:b/>
          <w:bCs/>
          <w:color w:val="auto"/>
          <w:w w:val="105"/>
          <w:kern w:val="20"/>
          <w:sz w:val="24"/>
          <w:szCs w:val="24"/>
          <w:lang w:val="en-US" w:eastAsia="zh-CN" w:bidi="ar"/>
        </w:rPr>
        <w:t>年   月  日</w:t>
      </w:r>
    </w:p>
    <w:p w14:paraId="526C514F">
      <w:pPr>
        <w:keepNext w:val="0"/>
        <w:keepLines w:val="0"/>
        <w:widowControl w:val="0"/>
        <w:suppressLineNumbers w:val="0"/>
        <w:spacing w:before="0" w:beforeAutospacing="0" w:after="0" w:afterAutospacing="0"/>
        <w:ind w:left="0" w:right="0"/>
        <w:jc w:val="both"/>
        <w:rPr>
          <w:color w:val="auto"/>
          <w:lang w:val="en-US"/>
        </w:rPr>
      </w:pPr>
    </w:p>
    <w:p w14:paraId="7C452A9B">
      <w:pPr>
        <w:spacing w:line="560" w:lineRule="exact"/>
        <w:rPr>
          <w:rFonts w:hint="eastAsia" w:ascii="黑体" w:hAnsi="黑体" w:eastAsia="黑体" w:cs="黑体"/>
          <w:color w:val="auto"/>
          <w:sz w:val="32"/>
          <w:szCs w:val="32"/>
          <w:highlight w:val="none"/>
          <w:lang w:val="en-US" w:eastAsia="zh-CN"/>
        </w:rPr>
      </w:pPr>
    </w:p>
    <w:p w14:paraId="5359D5E7">
      <w:pPr>
        <w:pStyle w:val="9"/>
        <w:rPr>
          <w:rFonts w:hint="eastAsia" w:ascii="仿宋_GB2312" w:hAnsi="仿宋_GB2312" w:eastAsia="仿宋_GB2312" w:cs="仿宋_GB2312"/>
          <w:color w:val="auto"/>
          <w:sz w:val="28"/>
          <w:szCs w:val="28"/>
          <w:highlight w:val="none"/>
          <w:lang w:val="en-US" w:eastAsia="zh-CN"/>
        </w:rPr>
      </w:pPr>
    </w:p>
    <w:p w14:paraId="4D574A2D">
      <w:pPr>
        <w:keepNext w:val="0"/>
        <w:keepLines w:val="0"/>
        <w:widowControl w:val="0"/>
        <w:suppressLineNumbers w:val="0"/>
        <w:pBdr>
          <w:top w:val="none" w:color="auto" w:sz="0" w:space="0"/>
          <w:left w:val="none" w:color="auto" w:sz="0" w:space="0"/>
          <w:bottom w:val="none" w:color="auto" w:sz="0" w:space="0"/>
          <w:right w:val="none" w:color="auto" w:sz="0" w:space="0"/>
        </w:pBdr>
        <w:spacing w:before="120" w:beforeAutospacing="0" w:after="120" w:afterAutospacing="0" w:line="460" w:lineRule="exact"/>
        <w:ind w:left="0" w:right="600" w:firstLine="6120" w:firstLineChars="2550"/>
        <w:jc w:val="both"/>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合同编号：</w:t>
      </w:r>
    </w:p>
    <w:p w14:paraId="70212FCD">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7770"/>
        </w:tabs>
        <w:spacing w:before="120" w:beforeAutospacing="0" w:after="120" w:afterAutospacing="0" w:line="460" w:lineRule="exact"/>
        <w:ind w:left="0" w:right="0"/>
        <w:jc w:val="both"/>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ab/>
      </w:r>
    </w:p>
    <w:p w14:paraId="1C8F4A05">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7770"/>
        </w:tabs>
        <w:spacing w:before="120" w:beforeAutospacing="0" w:after="120" w:afterAutospacing="0" w:line="460" w:lineRule="exact"/>
        <w:ind w:left="0" w:right="0"/>
        <w:jc w:val="both"/>
        <w:rPr>
          <w:rFonts w:hint="eastAsia" w:ascii="仿宋" w:hAnsi="仿宋" w:eastAsia="仿宋" w:cs="仿宋"/>
          <w:color w:val="auto"/>
          <w:sz w:val="24"/>
          <w:szCs w:val="20"/>
          <w:lang w:val="en-US"/>
        </w:rPr>
      </w:pPr>
    </w:p>
    <w:p w14:paraId="352E8209">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7770"/>
        </w:tabs>
        <w:spacing w:before="120" w:beforeAutospacing="0" w:after="120" w:afterAutospacing="0" w:line="460" w:lineRule="exact"/>
        <w:ind w:left="0" w:right="0"/>
        <w:jc w:val="both"/>
        <w:rPr>
          <w:rFonts w:hint="eastAsia" w:ascii="仿宋" w:hAnsi="仿宋" w:eastAsia="仿宋" w:cs="仿宋"/>
          <w:color w:val="auto"/>
          <w:sz w:val="24"/>
          <w:szCs w:val="20"/>
          <w:lang w:val="en-US"/>
        </w:rPr>
      </w:pPr>
    </w:p>
    <w:p w14:paraId="31168B67">
      <w:pPr>
        <w:keepNext w:val="0"/>
        <w:keepLines w:val="0"/>
        <w:widowControl w:val="0"/>
        <w:suppressLineNumbers w:val="0"/>
        <w:pBdr>
          <w:top w:val="none" w:color="auto" w:sz="0" w:space="0"/>
          <w:left w:val="none" w:color="auto" w:sz="0" w:space="0"/>
          <w:bottom w:val="none" w:color="auto" w:sz="0" w:space="0"/>
          <w:right w:val="none" w:color="auto" w:sz="0" w:space="0"/>
        </w:pBdr>
        <w:spacing w:before="120" w:beforeAutospacing="0" w:after="120" w:afterAutospacing="0" w:line="460" w:lineRule="exact"/>
        <w:ind w:left="0" w:right="0"/>
        <w:jc w:val="center"/>
        <w:rPr>
          <w:rFonts w:hint="eastAsia" w:ascii="仿宋" w:hAnsi="仿宋" w:eastAsia="仿宋" w:cs="仿宋"/>
          <w:b/>
          <w:bCs w:val="0"/>
          <w:color w:val="auto"/>
          <w:sz w:val="44"/>
          <w:szCs w:val="20"/>
          <w:lang w:val="en-US"/>
        </w:rPr>
      </w:pPr>
      <w:r>
        <w:rPr>
          <w:rFonts w:hint="eastAsia" w:ascii="仿宋" w:hAnsi="仿宋" w:eastAsia="仿宋" w:cs="仿宋"/>
          <w:b/>
          <w:bCs w:val="0"/>
          <w:color w:val="auto"/>
          <w:kern w:val="2"/>
          <w:sz w:val="44"/>
          <w:szCs w:val="20"/>
          <w:lang w:val="en-US" w:eastAsia="zh-CN" w:bidi="ar"/>
        </w:rPr>
        <w:t>信用评级委托合同</w:t>
      </w:r>
    </w:p>
    <w:p w14:paraId="50C22157">
      <w:pPr>
        <w:keepNext w:val="0"/>
        <w:keepLines w:val="0"/>
        <w:widowControl w:val="0"/>
        <w:suppressLineNumbers w:val="0"/>
        <w:pBdr>
          <w:top w:val="none" w:color="auto" w:sz="0" w:space="0"/>
          <w:left w:val="none" w:color="auto" w:sz="0" w:space="0"/>
          <w:bottom w:val="none" w:color="auto" w:sz="0" w:space="0"/>
          <w:right w:val="none" w:color="auto" w:sz="0" w:space="0"/>
        </w:pBdr>
        <w:spacing w:before="120" w:beforeAutospacing="0" w:after="120" w:afterAutospacing="0" w:line="460" w:lineRule="exact"/>
        <w:ind w:left="0" w:right="0"/>
        <w:jc w:val="both"/>
        <w:rPr>
          <w:rFonts w:hint="eastAsia" w:ascii="仿宋" w:hAnsi="仿宋" w:eastAsia="仿宋" w:cs="仿宋"/>
          <w:b/>
          <w:bCs w:val="0"/>
          <w:color w:val="auto"/>
          <w:sz w:val="32"/>
          <w:szCs w:val="20"/>
          <w:lang w:val="en-US"/>
        </w:rPr>
      </w:pPr>
    </w:p>
    <w:p w14:paraId="15D8690D">
      <w:pPr>
        <w:keepNext w:val="0"/>
        <w:keepLines w:val="0"/>
        <w:widowControl w:val="0"/>
        <w:suppressLineNumbers w:val="0"/>
        <w:pBdr>
          <w:top w:val="none" w:color="auto" w:sz="0" w:space="0"/>
          <w:left w:val="none" w:color="auto" w:sz="0" w:space="0"/>
          <w:bottom w:val="none" w:color="auto" w:sz="0" w:space="0"/>
          <w:right w:val="none" w:color="auto" w:sz="0" w:space="0"/>
        </w:pBdr>
        <w:spacing w:before="120" w:beforeAutospacing="0" w:after="120" w:afterAutospacing="0" w:line="460" w:lineRule="exact"/>
        <w:ind w:left="0" w:right="0"/>
        <w:jc w:val="both"/>
        <w:rPr>
          <w:rFonts w:hint="eastAsia" w:ascii="仿宋" w:hAnsi="仿宋" w:eastAsia="仿宋" w:cs="仿宋"/>
          <w:b/>
          <w:bCs w:val="0"/>
          <w:color w:val="auto"/>
          <w:sz w:val="32"/>
          <w:szCs w:val="20"/>
          <w:lang w:val="en-US"/>
        </w:rPr>
      </w:pPr>
    </w:p>
    <w:p w14:paraId="4B3359E6">
      <w:pPr>
        <w:keepNext w:val="0"/>
        <w:keepLines w:val="0"/>
        <w:widowControl w:val="0"/>
        <w:suppressLineNumbers w:val="0"/>
        <w:pBdr>
          <w:top w:val="none" w:color="auto" w:sz="0" w:space="0"/>
          <w:left w:val="none" w:color="auto" w:sz="0" w:space="0"/>
          <w:bottom w:val="none" w:color="auto" w:sz="0" w:space="0"/>
          <w:right w:val="none" w:color="auto" w:sz="0" w:space="0"/>
        </w:pBdr>
        <w:spacing w:before="120" w:beforeAutospacing="0" w:after="120" w:afterAutospacing="0" w:line="460" w:lineRule="exact"/>
        <w:ind w:left="0" w:right="0"/>
        <w:jc w:val="both"/>
        <w:rPr>
          <w:rFonts w:hint="eastAsia" w:ascii="仿宋" w:hAnsi="仿宋" w:eastAsia="仿宋" w:cs="仿宋"/>
          <w:b/>
          <w:bCs w:val="0"/>
          <w:color w:val="auto"/>
          <w:sz w:val="32"/>
          <w:szCs w:val="20"/>
          <w:lang w:val="en-US"/>
        </w:rPr>
      </w:pPr>
    </w:p>
    <w:p w14:paraId="075FB8E6">
      <w:pPr>
        <w:keepNext w:val="0"/>
        <w:keepLines w:val="0"/>
        <w:widowControl w:val="0"/>
        <w:suppressLineNumbers w:val="0"/>
        <w:pBdr>
          <w:top w:val="none" w:color="auto" w:sz="0" w:space="0"/>
          <w:left w:val="none" w:color="auto" w:sz="0" w:space="0"/>
          <w:bottom w:val="none" w:color="auto" w:sz="0" w:space="0"/>
          <w:right w:val="none" w:color="auto" w:sz="0" w:space="0"/>
        </w:pBdr>
        <w:spacing w:before="120" w:beforeAutospacing="0" w:after="120" w:afterAutospacing="0" w:line="460" w:lineRule="exact"/>
        <w:ind w:left="0" w:right="0"/>
        <w:jc w:val="both"/>
        <w:rPr>
          <w:rFonts w:hint="eastAsia" w:ascii="仿宋" w:hAnsi="仿宋" w:eastAsia="仿宋" w:cs="仿宋"/>
          <w:b/>
          <w:bCs w:val="0"/>
          <w:color w:val="auto"/>
          <w:sz w:val="32"/>
          <w:szCs w:val="20"/>
          <w:lang w:val="en-US"/>
        </w:rPr>
      </w:pPr>
    </w:p>
    <w:p w14:paraId="1B1D1BCC">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0"/>
        </w:tabs>
        <w:spacing w:before="120" w:beforeAutospacing="0" w:after="120" w:afterAutospacing="0" w:line="360" w:lineRule="auto"/>
        <w:ind w:left="0" w:right="0" w:firstLine="1546" w:firstLineChars="550"/>
        <w:jc w:val="both"/>
        <w:rPr>
          <w:rFonts w:hint="eastAsia" w:ascii="宋体" w:hAnsi="宋体" w:eastAsia="宋体" w:cs="宋体"/>
          <w:b/>
          <w:bCs w:val="0"/>
          <w:color w:val="auto"/>
          <w:sz w:val="28"/>
          <w:szCs w:val="20"/>
          <w:u w:val="single"/>
          <w:lang w:val="en-US"/>
        </w:rPr>
      </w:pPr>
      <w:r>
        <w:rPr>
          <w:rFonts w:hint="eastAsia" w:ascii="仿宋" w:hAnsi="仿宋" w:eastAsia="仿宋" w:cs="仿宋"/>
          <w:b/>
          <w:bCs w:val="0"/>
          <w:color w:val="auto"/>
          <w:kern w:val="2"/>
          <w:sz w:val="28"/>
          <w:szCs w:val="20"/>
          <w:lang w:val="en-US" w:eastAsia="zh-CN" w:bidi="ar"/>
        </w:rPr>
        <w:t>委托项目名称：</w:t>
      </w:r>
      <w:r>
        <w:rPr>
          <w:rFonts w:hint="eastAsia" w:ascii="仿宋" w:hAnsi="仿宋" w:eastAsia="仿宋" w:cs="仿宋"/>
          <w:b/>
          <w:bCs w:val="0"/>
          <w:color w:val="auto"/>
          <w:kern w:val="2"/>
          <w:sz w:val="28"/>
          <w:szCs w:val="20"/>
          <w:u w:val="single"/>
          <w:lang w:val="en-US" w:eastAsia="zh-CN" w:bidi="ar"/>
        </w:rPr>
        <w:t>主体信用评级</w:t>
      </w:r>
      <w:r>
        <w:rPr>
          <w:rFonts w:hint="eastAsia" w:ascii="宋体" w:hAnsi="宋体" w:eastAsia="宋体" w:cs="宋体"/>
          <w:b/>
          <w:bCs w:val="0"/>
          <w:color w:val="auto"/>
          <w:kern w:val="2"/>
          <w:sz w:val="28"/>
          <w:szCs w:val="20"/>
          <w:u w:val="single"/>
          <w:lang w:val="en-US" w:eastAsia="zh-CN" w:bidi="ar"/>
        </w:rPr>
        <w:t xml:space="preserve">                  </w:t>
      </w:r>
    </w:p>
    <w:p w14:paraId="7929819F">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0"/>
        </w:tabs>
        <w:spacing w:before="120" w:beforeAutospacing="0" w:after="120" w:afterAutospacing="0" w:line="360" w:lineRule="auto"/>
        <w:ind w:left="0" w:right="0" w:firstLine="1546" w:firstLineChars="550"/>
        <w:jc w:val="both"/>
        <w:rPr>
          <w:rFonts w:hint="eastAsia" w:ascii="仿宋" w:hAnsi="仿宋" w:eastAsia="仿宋" w:cs="仿宋"/>
          <w:b/>
          <w:bCs w:val="0"/>
          <w:color w:val="auto"/>
          <w:sz w:val="28"/>
          <w:szCs w:val="20"/>
          <w:u w:val="single"/>
          <w:lang w:val="en-US"/>
        </w:rPr>
      </w:pPr>
      <w:r>
        <w:rPr>
          <w:rFonts w:hint="eastAsia" w:ascii="仿宋" w:hAnsi="仿宋" w:eastAsia="仿宋" w:cs="仿宋"/>
          <w:b/>
          <w:bCs w:val="0"/>
          <w:color w:val="auto"/>
          <w:kern w:val="2"/>
          <w:sz w:val="28"/>
          <w:szCs w:val="20"/>
          <w:lang w:val="en-US" w:eastAsia="zh-CN" w:bidi="ar"/>
        </w:rPr>
        <w:t>委托方(甲方)：</w:t>
      </w:r>
      <w:r>
        <w:rPr>
          <w:rFonts w:hint="eastAsia" w:ascii="仿宋" w:hAnsi="仿宋" w:eastAsia="仿宋" w:cs="仿宋"/>
          <w:b/>
          <w:bCs w:val="0"/>
          <w:color w:val="auto"/>
          <w:kern w:val="2"/>
          <w:sz w:val="28"/>
          <w:szCs w:val="20"/>
          <w:u w:val="single"/>
          <w:lang w:val="en-US" w:eastAsia="zh-CN" w:bidi="ar"/>
        </w:rPr>
        <w:t>河池市城市投资建设发展有限公司</w:t>
      </w:r>
    </w:p>
    <w:p w14:paraId="52129826">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0"/>
        </w:tabs>
        <w:spacing w:before="120" w:beforeAutospacing="0" w:after="120" w:afterAutospacing="0" w:line="360" w:lineRule="auto"/>
        <w:ind w:left="0" w:right="0" w:firstLine="1546" w:firstLineChars="550"/>
        <w:jc w:val="both"/>
        <w:rPr>
          <w:rFonts w:hint="eastAsia" w:ascii="仿宋" w:hAnsi="仿宋" w:eastAsia="仿宋" w:cs="仿宋"/>
          <w:b/>
          <w:bCs w:val="0"/>
          <w:color w:val="auto"/>
          <w:sz w:val="28"/>
          <w:szCs w:val="20"/>
          <w:u w:val="single"/>
          <w:lang w:val="en-US"/>
        </w:rPr>
      </w:pPr>
      <w:r>
        <w:rPr>
          <w:rFonts w:hint="eastAsia" w:ascii="仿宋" w:hAnsi="仿宋" w:eastAsia="仿宋" w:cs="仿宋"/>
          <w:b/>
          <w:bCs w:val="0"/>
          <w:color w:val="auto"/>
          <w:kern w:val="2"/>
          <w:sz w:val="28"/>
          <w:szCs w:val="20"/>
          <w:lang w:val="en-US" w:eastAsia="zh-CN" w:bidi="ar"/>
        </w:rPr>
        <w:t>受托方(乙方)：</w:t>
      </w:r>
      <w:r>
        <w:rPr>
          <w:rFonts w:hint="eastAsia" w:ascii="仿宋" w:hAnsi="仿宋" w:eastAsia="仿宋" w:cs="仿宋"/>
          <w:b/>
          <w:bCs w:val="0"/>
          <w:color w:val="auto"/>
          <w:kern w:val="2"/>
          <w:sz w:val="28"/>
          <w:szCs w:val="20"/>
          <w:u w:val="single"/>
          <w:lang w:val="en-US" w:eastAsia="zh-CN" w:bidi="ar"/>
        </w:rPr>
        <w:t xml:space="preserve">                              </w:t>
      </w:r>
    </w:p>
    <w:p w14:paraId="41566B52">
      <w:pPr>
        <w:pStyle w:val="11"/>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b/>
          <w:bCs w:val="0"/>
          <w:color w:val="auto"/>
          <w:sz w:val="28"/>
          <w:szCs w:val="20"/>
          <w:lang w:val="en-US"/>
        </w:rPr>
      </w:pPr>
    </w:p>
    <w:p w14:paraId="3170B127">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0"/>
        </w:tabs>
        <w:spacing w:before="120" w:beforeAutospacing="0" w:after="120" w:afterAutospacing="0" w:line="460" w:lineRule="exact"/>
        <w:ind w:left="0" w:right="0"/>
        <w:jc w:val="both"/>
        <w:rPr>
          <w:rFonts w:hint="eastAsia" w:ascii="仿宋" w:hAnsi="仿宋" w:eastAsia="仿宋" w:cs="仿宋"/>
          <w:b/>
          <w:bCs w:val="0"/>
          <w:color w:val="auto"/>
          <w:sz w:val="28"/>
          <w:szCs w:val="20"/>
          <w:lang w:val="en-US"/>
        </w:rPr>
      </w:pPr>
    </w:p>
    <w:p w14:paraId="5F8CB2C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p>
    <w:p w14:paraId="5AB4AE6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p>
    <w:p w14:paraId="3066065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p>
    <w:p w14:paraId="71866E7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p>
    <w:p w14:paraId="02A2F204">
      <w:pPr>
        <w:keepNext w:val="0"/>
        <w:keepLines w:val="0"/>
        <w:widowControl w:val="0"/>
        <w:suppressLineNumbers w:val="0"/>
        <w:pBdr>
          <w:top w:val="none" w:color="auto" w:sz="0" w:space="0"/>
          <w:left w:val="none" w:color="auto" w:sz="0" w:space="0"/>
          <w:bottom w:val="none" w:color="auto" w:sz="0" w:space="0"/>
          <w:right w:val="none" w:color="auto" w:sz="0" w:space="0"/>
        </w:pBdr>
        <w:spacing w:before="156" w:beforeLines="50" w:beforeAutospacing="0" w:after="0" w:afterAutospacing="0"/>
        <w:ind w:left="0" w:right="0"/>
        <w:jc w:val="both"/>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br w:type="page"/>
      </w:r>
      <w:r>
        <w:rPr>
          <w:rFonts w:hint="eastAsia" w:ascii="仿宋" w:hAnsi="仿宋" w:eastAsia="仿宋" w:cs="仿宋"/>
          <w:b/>
          <w:bCs w:val="0"/>
          <w:color w:val="auto"/>
          <w:kern w:val="2"/>
          <w:sz w:val="24"/>
          <w:szCs w:val="20"/>
          <w:lang w:val="en-US" w:eastAsia="zh-CN" w:bidi="ar"/>
        </w:rPr>
        <w:t>委托方： 河池市城市投资建设发展有限公司   （以下简称“甲方”）</w:t>
      </w:r>
    </w:p>
    <w:p w14:paraId="43DA67F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法定代表人：尚斌</w:t>
      </w:r>
    </w:p>
    <w:p w14:paraId="7458224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联系地址：广西河池市金城江区金碧路25号</w:t>
      </w:r>
    </w:p>
    <w:p w14:paraId="5926BB2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2"/>
          <w:lang w:val="en-US"/>
        </w:rPr>
      </w:pPr>
      <w:r>
        <w:rPr>
          <w:rFonts w:hint="eastAsia" w:ascii="仿宋" w:hAnsi="仿宋" w:eastAsia="仿宋" w:cs="仿宋"/>
          <w:b/>
          <w:bCs w:val="0"/>
          <w:color w:val="auto"/>
          <w:kern w:val="2"/>
          <w:sz w:val="24"/>
          <w:szCs w:val="22"/>
          <w:lang w:val="en-US" w:eastAsia="zh-CN" w:bidi="ar"/>
        </w:rPr>
        <w:t>联系人：韦利梅</w:t>
      </w:r>
    </w:p>
    <w:p w14:paraId="5FB298B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联系电话：0778-2283372</w:t>
      </w:r>
    </w:p>
    <w:p w14:paraId="095BC62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b/>
          <w:bCs w:val="0"/>
          <w:color w:val="auto"/>
          <w:lang w:val="en-US"/>
        </w:rPr>
      </w:pPr>
      <w:r>
        <w:rPr>
          <w:rFonts w:hint="eastAsia" w:ascii="仿宋" w:hAnsi="仿宋" w:eastAsia="仿宋" w:cs="仿宋"/>
          <w:b/>
          <w:bCs w:val="0"/>
          <w:color w:val="auto"/>
          <w:kern w:val="2"/>
          <w:sz w:val="24"/>
          <w:szCs w:val="20"/>
          <w:lang w:val="en-US" w:eastAsia="zh-CN" w:bidi="ar"/>
        </w:rPr>
        <w:t>联系邮箱</w:t>
      </w:r>
      <w:r>
        <w:rPr>
          <w:rFonts w:hint="eastAsia" w:ascii="仿宋" w:hAnsi="仿宋" w:eastAsia="仿宋" w:cs="仿宋"/>
          <w:color w:val="auto"/>
          <w:kern w:val="2"/>
          <w:sz w:val="24"/>
          <w:szCs w:val="20"/>
          <w:lang w:val="en-US" w:eastAsia="zh-CN" w:bidi="ar"/>
        </w:rPr>
        <w:t>：</w:t>
      </w:r>
      <w:r>
        <w:rPr>
          <w:rFonts w:hint="default" w:ascii="Times New Roman" w:hAnsi="Times New Roman" w:eastAsia="宋体" w:cs="Times New Roman"/>
          <w:b/>
          <w:bCs w:val="0"/>
          <w:color w:val="auto"/>
          <w:kern w:val="2"/>
          <w:sz w:val="21"/>
          <w:szCs w:val="20"/>
          <w:lang w:val="en-US" w:eastAsia="zh-CN" w:bidi="ar"/>
        </w:rPr>
        <w:t>hcctrzb@163.com</w:t>
      </w:r>
    </w:p>
    <w:p w14:paraId="5B98DAB0">
      <w:pPr>
        <w:pStyle w:val="11"/>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bCs w:val="0"/>
          <w:color w:val="auto"/>
          <w:sz w:val="24"/>
          <w:szCs w:val="20"/>
          <w:lang w:val="en-US"/>
        </w:rPr>
      </w:pPr>
    </w:p>
    <w:p w14:paraId="7619456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Cs/>
          <w:color w:val="auto"/>
          <w:sz w:val="24"/>
          <w:szCs w:val="20"/>
          <w:lang w:val="en-US"/>
        </w:rPr>
      </w:pPr>
      <w:r>
        <w:rPr>
          <w:rFonts w:hint="eastAsia" w:ascii="仿宋" w:hAnsi="仿宋" w:eastAsia="仿宋" w:cs="仿宋"/>
          <w:b/>
          <w:bCs w:val="0"/>
          <w:color w:val="auto"/>
          <w:kern w:val="2"/>
          <w:sz w:val="24"/>
          <w:szCs w:val="20"/>
          <w:lang w:val="en-US" w:eastAsia="zh-CN" w:bidi="ar"/>
        </w:rPr>
        <w:t>受托方：              （以下简称“乙方”）</w:t>
      </w:r>
    </w:p>
    <w:p w14:paraId="1688F65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法定代表人：</w:t>
      </w:r>
    </w:p>
    <w:p w14:paraId="3C4AC16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联系地址：</w:t>
      </w:r>
    </w:p>
    <w:p w14:paraId="35F7999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2"/>
          <w:lang w:val="en-US"/>
        </w:rPr>
      </w:pPr>
      <w:r>
        <w:rPr>
          <w:rFonts w:hint="eastAsia" w:ascii="仿宋" w:hAnsi="仿宋" w:eastAsia="仿宋" w:cs="仿宋"/>
          <w:b/>
          <w:bCs w:val="0"/>
          <w:color w:val="auto"/>
          <w:kern w:val="2"/>
          <w:sz w:val="24"/>
          <w:szCs w:val="22"/>
          <w:lang w:val="en-US" w:eastAsia="zh-CN" w:bidi="ar"/>
        </w:rPr>
        <w:t>联系人：</w:t>
      </w:r>
    </w:p>
    <w:p w14:paraId="3FC9A67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联系电话：</w:t>
      </w:r>
    </w:p>
    <w:p w14:paraId="2280ADE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both"/>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联系邮箱：</w:t>
      </w:r>
    </w:p>
    <w:p w14:paraId="1AD0EE8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firstLine="480" w:firstLineChars="200"/>
        <w:jc w:val="both"/>
        <w:rPr>
          <w:rFonts w:hint="eastAsia" w:ascii="仿宋" w:hAnsi="仿宋" w:eastAsia="仿宋" w:cs="仿宋"/>
          <w:color w:val="auto"/>
          <w:sz w:val="24"/>
          <w:szCs w:val="22"/>
          <w:lang w:val="en-US"/>
        </w:rPr>
      </w:pPr>
    </w:p>
    <w:p w14:paraId="6CA2F59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2"/>
          <w:lang w:val="en-US"/>
        </w:rPr>
      </w:pPr>
      <w:r>
        <w:rPr>
          <w:rFonts w:hint="eastAsia" w:ascii="仿宋" w:hAnsi="仿宋" w:eastAsia="仿宋" w:cs="仿宋"/>
          <w:color w:val="auto"/>
          <w:kern w:val="2"/>
          <w:sz w:val="24"/>
          <w:szCs w:val="22"/>
          <w:lang w:val="en-US" w:eastAsia="zh-CN" w:bidi="ar"/>
        </w:rPr>
        <w:t>根据《中华人民共和国民法典》等相关规定，甲乙双方遵循平等、自愿、公平原则，经友好协商，就甲方委托乙方开展主体信用评级</w:t>
      </w:r>
      <w:r>
        <w:rPr>
          <w:rFonts w:hint="eastAsia" w:ascii="仿宋" w:hAnsi="仿宋" w:eastAsia="仿宋" w:cs="仿宋"/>
          <w:color w:val="auto"/>
          <w:kern w:val="2"/>
          <w:sz w:val="24"/>
          <w:szCs w:val="20"/>
          <w:lang w:val="en-US" w:eastAsia="zh-CN" w:bidi="ar"/>
        </w:rPr>
        <w:t>（以下简称“本项目”）</w:t>
      </w:r>
      <w:r>
        <w:rPr>
          <w:rFonts w:hint="eastAsia" w:ascii="仿宋" w:hAnsi="仿宋" w:eastAsia="仿宋" w:cs="仿宋"/>
          <w:color w:val="auto"/>
          <w:kern w:val="2"/>
          <w:sz w:val="24"/>
          <w:szCs w:val="22"/>
          <w:lang w:val="en-US" w:eastAsia="zh-CN" w:bidi="ar"/>
        </w:rPr>
        <w:t>事宜达成一致，订立本合同，共同遵照执行。</w:t>
      </w:r>
    </w:p>
    <w:p w14:paraId="583179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2" w:firstLineChars="200"/>
        <w:jc w:val="both"/>
        <w:textAlignment w:val="auto"/>
        <w:outlineLvl w:val="0"/>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第一条  委托事项</w:t>
      </w:r>
    </w:p>
    <w:p w14:paraId="7BEFED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2"/>
          <w:lang w:val="en-US"/>
        </w:rPr>
      </w:pPr>
      <w:r>
        <w:rPr>
          <w:rFonts w:hint="eastAsia" w:ascii="仿宋" w:hAnsi="仿宋" w:eastAsia="仿宋" w:cs="仿宋"/>
          <w:color w:val="auto"/>
          <w:kern w:val="2"/>
          <w:sz w:val="24"/>
          <w:szCs w:val="20"/>
          <w:lang w:val="en-US" w:eastAsia="zh-CN" w:bidi="ar"/>
        </w:rPr>
        <w:t>1.1甲方委托乙方对</w:t>
      </w:r>
      <w:r>
        <w:rPr>
          <w:rFonts w:hint="eastAsia" w:ascii="仿宋" w:hAnsi="仿宋" w:eastAsia="仿宋" w:cs="仿宋"/>
          <w:color w:val="auto"/>
          <w:kern w:val="2"/>
          <w:sz w:val="24"/>
          <w:szCs w:val="22"/>
          <w:u w:val="single"/>
          <w:lang w:val="en-US" w:eastAsia="zh-CN" w:bidi="ar"/>
        </w:rPr>
        <w:t xml:space="preserve"> 河池市城市投资建设发展有限公司 </w:t>
      </w:r>
      <w:r>
        <w:rPr>
          <w:rFonts w:hint="eastAsia" w:ascii="仿宋" w:hAnsi="仿宋" w:eastAsia="仿宋" w:cs="仿宋"/>
          <w:color w:val="auto"/>
          <w:kern w:val="2"/>
          <w:sz w:val="24"/>
          <w:szCs w:val="20"/>
          <w:lang w:val="en-US" w:eastAsia="zh-CN" w:bidi="ar"/>
        </w:rPr>
        <w:t>进行主体信用评级，乙方向甲方提交信用评级报告。</w:t>
      </w:r>
    </w:p>
    <w:p w14:paraId="2838C4F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outlineLvl w:val="0"/>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1.2主体评级结果有效期为1年，自主体信用评级结果出具日开始计算。其中：</w:t>
      </w:r>
    </w:p>
    <w:p w14:paraId="3F07ADD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outlineLvl w:val="0"/>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 xml:space="preserve">1.2.1评级结果有效期除终止评级外，不因任何原因调整。 </w:t>
      </w:r>
    </w:p>
    <w:p w14:paraId="1461E08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outlineLvl w:val="0"/>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1.2.2评级结果有效期内</w:t>
      </w:r>
      <w:r>
        <w:rPr>
          <w:rFonts w:hint="eastAsia" w:ascii="仿宋" w:hAnsi="仿宋" w:eastAsia="仿宋" w:cs="仿宋"/>
          <w:color w:val="auto"/>
          <w:kern w:val="2"/>
          <w:sz w:val="24"/>
          <w:szCs w:val="22"/>
          <w:lang w:val="en-US" w:eastAsia="zh-CN" w:bidi="ar"/>
        </w:rPr>
        <w:t>，发生评级调整则以最新信息为准</w:t>
      </w:r>
      <w:r>
        <w:rPr>
          <w:rFonts w:hint="eastAsia" w:ascii="仿宋" w:hAnsi="仿宋" w:eastAsia="仿宋" w:cs="仿宋"/>
          <w:color w:val="auto"/>
          <w:kern w:val="2"/>
          <w:sz w:val="24"/>
          <w:szCs w:val="20"/>
          <w:lang w:val="en-US" w:eastAsia="zh-CN" w:bidi="ar"/>
        </w:rPr>
        <w:t>。</w:t>
      </w:r>
    </w:p>
    <w:p w14:paraId="7ABCB76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outlineLvl w:val="0"/>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1.2.3评级结果有效期满后，如无新的主体信用评级结果出具，原有主体评级结果自动失效。</w:t>
      </w:r>
    </w:p>
    <w:p w14:paraId="34D0C1D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2"/>
          <w:lang w:val="en-US" w:eastAsia="zh-CN" w:bidi="ar"/>
        </w:rPr>
        <w:t>1.3甲乙双方确认：</w:t>
      </w:r>
      <w:r>
        <w:rPr>
          <w:rFonts w:hint="eastAsia" w:ascii="仿宋" w:hAnsi="仿宋" w:eastAsia="仿宋" w:cs="仿宋"/>
          <w:color w:val="auto"/>
          <w:kern w:val="2"/>
          <w:sz w:val="24"/>
          <w:szCs w:val="20"/>
          <w:lang w:val="en-US" w:eastAsia="zh-CN" w:bidi="ar"/>
        </w:rPr>
        <w:t>乙方出具的信用评级报告仅为第三方参考意见，并非是某种决策性的结论或建议，甲方应谨慎使用信用评级报告。</w:t>
      </w:r>
      <w:r>
        <w:rPr>
          <w:rFonts w:hint="eastAsia" w:ascii="仿宋" w:hAnsi="仿宋" w:eastAsia="仿宋" w:cs="仿宋"/>
          <w:color w:val="auto"/>
          <w:kern w:val="2"/>
          <w:sz w:val="24"/>
          <w:szCs w:val="22"/>
          <w:lang w:val="en-US" w:eastAsia="zh-CN" w:bidi="ar"/>
        </w:rPr>
        <w:t>甲方不得干扰乙方评定何种层次的信用等级，乙方不得承诺信用等级。</w:t>
      </w:r>
    </w:p>
    <w:p w14:paraId="7C1BC13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2" w:firstLineChars="200"/>
        <w:jc w:val="both"/>
        <w:textAlignment w:val="auto"/>
        <w:outlineLvl w:val="0"/>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第二条  评级费用</w:t>
      </w:r>
    </w:p>
    <w:p w14:paraId="1B09DE9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2"/>
          <w:lang w:val="en-US"/>
        </w:rPr>
      </w:pPr>
      <w:r>
        <w:rPr>
          <w:rFonts w:hint="eastAsia" w:ascii="仿宋" w:hAnsi="仿宋" w:eastAsia="仿宋" w:cs="仿宋"/>
          <w:color w:val="auto"/>
          <w:kern w:val="2"/>
          <w:sz w:val="24"/>
          <w:szCs w:val="20"/>
          <w:lang w:val="en-US" w:eastAsia="zh-CN" w:bidi="ar"/>
        </w:rPr>
        <w:t>2.1评级费用</w:t>
      </w:r>
      <w:r>
        <w:rPr>
          <w:rFonts w:hint="eastAsia" w:ascii="仿宋" w:hAnsi="仿宋" w:eastAsia="仿宋" w:cs="仿宋"/>
          <w:color w:val="auto"/>
          <w:kern w:val="2"/>
          <w:sz w:val="24"/>
          <w:szCs w:val="22"/>
          <w:lang w:val="en-US" w:eastAsia="zh-CN" w:bidi="ar"/>
        </w:rPr>
        <w:t>包括以下相关费用：</w:t>
      </w:r>
    </w:p>
    <w:p w14:paraId="2ECF82F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2"/>
          <w:lang w:val="en-US"/>
        </w:rPr>
      </w:pPr>
      <w:r>
        <w:rPr>
          <w:rFonts w:hint="eastAsia" w:ascii="仿宋" w:hAnsi="仿宋" w:eastAsia="仿宋" w:cs="仿宋"/>
          <w:color w:val="auto"/>
          <w:kern w:val="2"/>
          <w:sz w:val="24"/>
          <w:szCs w:val="22"/>
          <w:lang w:val="en-US" w:eastAsia="zh-CN" w:bidi="ar"/>
        </w:rPr>
        <w:t>2.1.1主体首次评级费用</w:t>
      </w:r>
    </w:p>
    <w:p w14:paraId="4913F8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2"/>
          <w:lang w:val="en-US" w:eastAsia="zh-CN" w:bidi="ar"/>
        </w:rPr>
        <w:t>首次评级费用为</w:t>
      </w:r>
      <w:r>
        <w:rPr>
          <w:rFonts w:hint="default" w:ascii="Arial" w:hAnsi="Arial" w:eastAsia="仿宋" w:cs="Arial"/>
          <w:color w:val="auto"/>
          <w:kern w:val="2"/>
          <w:sz w:val="24"/>
          <w:szCs w:val="22"/>
          <w:u w:val="single"/>
          <w:lang w:val="en-US" w:eastAsia="zh-CN" w:bidi="ar"/>
        </w:rPr>
        <w:t>¥</w:t>
      </w:r>
      <w:r>
        <w:rPr>
          <w:rFonts w:hint="eastAsia" w:ascii="仿宋" w:hAnsi="仿宋" w:eastAsia="仿宋" w:cs="仿宋"/>
          <w:color w:val="auto"/>
          <w:kern w:val="2"/>
          <w:sz w:val="24"/>
          <w:szCs w:val="22"/>
          <w:u w:val="single"/>
          <w:lang w:val="en-US" w:eastAsia="zh-CN" w:bidi="ar"/>
        </w:rPr>
        <w:t xml:space="preserve">        </w:t>
      </w:r>
      <w:r>
        <w:rPr>
          <w:rFonts w:hint="eastAsia" w:ascii="仿宋" w:hAnsi="仿宋" w:eastAsia="仿宋" w:cs="仿宋"/>
          <w:color w:val="auto"/>
          <w:kern w:val="2"/>
          <w:sz w:val="24"/>
          <w:szCs w:val="20"/>
          <w:lang w:val="en-US" w:eastAsia="zh-CN" w:bidi="ar"/>
        </w:rPr>
        <w:t>元（大写：人民币</w:t>
      </w:r>
      <w:r>
        <w:rPr>
          <w:rFonts w:hint="eastAsia" w:ascii="仿宋" w:hAnsi="仿宋" w:eastAsia="仿宋" w:cs="仿宋"/>
          <w:color w:val="auto"/>
          <w:kern w:val="2"/>
          <w:sz w:val="24"/>
          <w:szCs w:val="22"/>
          <w:u w:val="single"/>
          <w:lang w:val="en-US" w:eastAsia="zh-CN" w:bidi="ar"/>
        </w:rPr>
        <w:t xml:space="preserve">             </w:t>
      </w:r>
      <w:r>
        <w:rPr>
          <w:rFonts w:hint="eastAsia" w:ascii="仿宋" w:hAnsi="仿宋" w:eastAsia="仿宋" w:cs="仿宋"/>
          <w:color w:val="auto"/>
          <w:kern w:val="2"/>
          <w:sz w:val="24"/>
          <w:szCs w:val="20"/>
          <w:lang w:val="en-US" w:eastAsia="zh-CN" w:bidi="ar"/>
        </w:rPr>
        <w:t>元整），甲方应于本合同生效之日起7个工作日内并在乙方</w:t>
      </w:r>
      <w:r>
        <w:rPr>
          <w:rFonts w:hint="eastAsia" w:ascii="仿宋" w:hAnsi="仿宋" w:eastAsia="仿宋" w:cs="仿宋"/>
          <w:color w:val="auto"/>
          <w:kern w:val="2"/>
          <w:sz w:val="24"/>
          <w:szCs w:val="22"/>
          <w:lang w:val="en-US" w:eastAsia="zh-CN" w:bidi="ar"/>
        </w:rPr>
        <w:t>主体首次评级项目启动</w:t>
      </w:r>
      <w:r>
        <w:rPr>
          <w:rFonts w:hint="eastAsia" w:ascii="仿宋" w:hAnsi="仿宋" w:eastAsia="仿宋" w:cs="仿宋"/>
          <w:color w:val="auto"/>
          <w:kern w:val="2"/>
          <w:sz w:val="24"/>
          <w:szCs w:val="20"/>
          <w:lang w:val="en-US" w:eastAsia="zh-CN" w:bidi="ar"/>
        </w:rPr>
        <w:t>前将首次评级费用一次性全额支付给乙方。</w:t>
      </w:r>
    </w:p>
    <w:p w14:paraId="615C076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2.1.2 引用类评级费用</w:t>
      </w:r>
    </w:p>
    <w:p w14:paraId="0CD4C7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如甲方需引用乙方出具的主体报告中主体评级信息用于发债，应当提前10个工作日向乙方提出书面申请，经乙方书面同意后方可引用主体评级信息。</w:t>
      </w:r>
    </w:p>
    <w:p w14:paraId="7EBD25A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2.1.3更新类评级费用</w:t>
      </w:r>
    </w:p>
    <w:p w14:paraId="3647A9F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如甲方委托乙方更新财务数据等信息，甲乙双方可另行签订书面协议约定收费标准和权利义务。</w:t>
      </w:r>
    </w:p>
    <w:p w14:paraId="0118D6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2.2乙方收款账户信息：</w:t>
      </w:r>
    </w:p>
    <w:p w14:paraId="742AFD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开户银行：</w:t>
      </w:r>
    </w:p>
    <w:p w14:paraId="40EC64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开户账号：</w:t>
      </w:r>
    </w:p>
    <w:p w14:paraId="6F4E746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开户全称：</w:t>
      </w:r>
    </w:p>
    <w:p w14:paraId="652713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b/>
          <w:bCs/>
          <w:color w:val="auto"/>
          <w:sz w:val="24"/>
          <w:szCs w:val="20"/>
          <w:lang w:val="en-US"/>
        </w:rPr>
      </w:pPr>
      <w:r>
        <w:rPr>
          <w:rFonts w:hint="eastAsia" w:ascii="仿宋" w:hAnsi="仿宋" w:eastAsia="仿宋" w:cs="仿宋"/>
          <w:color w:val="auto"/>
          <w:kern w:val="2"/>
          <w:sz w:val="24"/>
          <w:szCs w:val="20"/>
          <w:lang w:val="en-US" w:eastAsia="zh-CN" w:bidi="ar"/>
        </w:rPr>
        <w:t>2.3乙方应在甲方付款前向甲方出具税率为</w:t>
      </w:r>
      <w:r>
        <w:rPr>
          <w:rFonts w:hint="eastAsia" w:ascii="仿宋" w:hAnsi="仿宋" w:eastAsia="仿宋" w:cs="仿宋"/>
          <w:color w:val="auto"/>
          <w:kern w:val="2"/>
          <w:sz w:val="24"/>
          <w:szCs w:val="20"/>
          <w:u w:val="single"/>
          <w:lang w:val="en-US" w:eastAsia="zh-CN" w:bidi="ar"/>
        </w:rPr>
        <w:t xml:space="preserve">   </w:t>
      </w:r>
      <w:r>
        <w:rPr>
          <w:rFonts w:hint="eastAsia" w:ascii="仿宋" w:hAnsi="仿宋" w:eastAsia="仿宋" w:cs="仿宋"/>
          <w:color w:val="auto"/>
          <w:kern w:val="2"/>
          <w:sz w:val="24"/>
          <w:szCs w:val="20"/>
          <w:lang w:val="en-US" w:eastAsia="zh-CN" w:bidi="ar"/>
        </w:rPr>
        <w:t>%的增值税专用发票（一般纳税人税率为6%，小规模纳税人税率为3%）。</w:t>
      </w:r>
    </w:p>
    <w:p w14:paraId="1220D50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2" w:firstLineChars="200"/>
        <w:jc w:val="both"/>
        <w:textAlignment w:val="auto"/>
        <w:rPr>
          <w:rFonts w:hint="eastAsia" w:ascii="仿宋" w:hAnsi="仿宋" w:eastAsia="仿宋" w:cs="仿宋"/>
          <w:b/>
          <w:bCs/>
          <w:color w:val="auto"/>
          <w:sz w:val="24"/>
          <w:szCs w:val="20"/>
          <w:lang w:val="en-US"/>
        </w:rPr>
      </w:pPr>
      <w:r>
        <w:rPr>
          <w:rFonts w:hint="eastAsia" w:ascii="仿宋" w:hAnsi="仿宋" w:eastAsia="仿宋" w:cs="仿宋"/>
          <w:b/>
          <w:bCs/>
          <w:color w:val="auto"/>
          <w:kern w:val="2"/>
          <w:sz w:val="24"/>
          <w:szCs w:val="20"/>
          <w:lang w:val="en-US" w:eastAsia="zh-CN" w:bidi="ar"/>
        </w:rPr>
        <w:t>第三条  甲方的权利与义务</w:t>
      </w:r>
    </w:p>
    <w:p w14:paraId="74E9A9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3.1甲方享有对乙方市场人员在合同洽谈阶段及评级人员在评级分析阶段的商业贿赂、不尽职履责等情况的投诉权和申诉权。</w:t>
      </w:r>
    </w:p>
    <w:p w14:paraId="615124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2"/>
          <w:lang w:val="en-US"/>
        </w:rPr>
      </w:pPr>
      <w:r>
        <w:rPr>
          <w:rFonts w:hint="eastAsia" w:ascii="仿宋" w:hAnsi="仿宋" w:eastAsia="仿宋" w:cs="仿宋"/>
          <w:color w:val="auto"/>
          <w:kern w:val="2"/>
          <w:sz w:val="24"/>
          <w:szCs w:val="20"/>
          <w:lang w:val="en-US" w:eastAsia="zh-CN" w:bidi="ar"/>
        </w:rPr>
        <w:t>3.2</w:t>
      </w:r>
      <w:r>
        <w:rPr>
          <w:rFonts w:hint="eastAsia" w:ascii="仿宋" w:hAnsi="仿宋" w:eastAsia="仿宋" w:cs="仿宋"/>
          <w:color w:val="auto"/>
          <w:kern w:val="2"/>
          <w:sz w:val="24"/>
          <w:szCs w:val="22"/>
          <w:lang w:val="en-US" w:eastAsia="zh-CN" w:bidi="ar"/>
        </w:rPr>
        <w:t>甲方应根据乙方要求及时提供评级所需的文件资料，并确保在双方合作期间所提供文件资料真实、准确、完整且无隐瞒、遗漏和误导。如甲方提供的资料不符合前述要求，致使评级资料出现重大偏差，由此产生的一切后果，均由甲方承担；上述行为给乙方造成损失的，甲方应当承担违约责任；同时乙方有权采取调整或撤销信用等级等必要措施。</w:t>
      </w:r>
    </w:p>
    <w:p w14:paraId="0A2DB2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2"/>
          <w:lang w:val="en-US"/>
        </w:rPr>
      </w:pPr>
      <w:r>
        <w:rPr>
          <w:rFonts w:hint="eastAsia" w:ascii="仿宋" w:hAnsi="仿宋" w:eastAsia="仿宋" w:cs="仿宋"/>
          <w:color w:val="auto"/>
          <w:kern w:val="2"/>
          <w:sz w:val="24"/>
          <w:szCs w:val="22"/>
          <w:lang w:val="en-US" w:eastAsia="zh-CN" w:bidi="ar"/>
        </w:rPr>
        <w:t>该等文件资料以及评级所涉及的意见反馈等，可以采用电子邮件、邮寄、传真、现场移交等多种方式提供。由甲方联系人（联系方式见合同正文首页基本信息处，若甲方联系人更换应当提前3日书面通知乙方）提供的前述资料均可视为甲方提供。</w:t>
      </w:r>
    </w:p>
    <w:p w14:paraId="0EFC4E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2"/>
          <w:lang w:val="en-US"/>
        </w:rPr>
      </w:pPr>
      <w:r>
        <w:rPr>
          <w:rFonts w:hint="eastAsia" w:ascii="仿宋" w:hAnsi="仿宋" w:eastAsia="仿宋" w:cs="仿宋"/>
          <w:color w:val="auto"/>
          <w:kern w:val="2"/>
          <w:sz w:val="24"/>
          <w:szCs w:val="20"/>
          <w:lang w:val="en-US" w:eastAsia="zh-CN" w:bidi="ar"/>
        </w:rPr>
        <w:t>3.3</w:t>
      </w:r>
      <w:r>
        <w:rPr>
          <w:rFonts w:hint="eastAsia" w:ascii="仿宋" w:hAnsi="仿宋" w:eastAsia="仿宋" w:cs="仿宋"/>
          <w:color w:val="auto"/>
          <w:kern w:val="2"/>
          <w:sz w:val="24"/>
          <w:szCs w:val="22"/>
          <w:lang w:val="en-US" w:eastAsia="zh-CN" w:bidi="ar"/>
        </w:rPr>
        <w:t>甲方有义务配合乙方进场，配合开展与评级工作相关的调查、访问、座谈及其他必要活动，并为此提供条件和便利。甲方保证不以任何方式影响乙方评级人员正常开展工作。</w:t>
      </w:r>
    </w:p>
    <w:p w14:paraId="146544A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3.4在甲方主体信用评级结果有效期内，如甲方发生包括但不限于涉及自身经营、资产变动、股权结构变更或其他足以影响甲方主体信用状况的重大事件，应及时书面通知乙方，并提供相关资料，包括但不限于季度报告（如有）、年度报告、征信报告及相关信息等或出现紧急调整级别的情况，需要甲方提前做出反馈的，甲方同意配合乙方进行对主体信用的不定期跟踪评级工作。</w:t>
      </w:r>
    </w:p>
    <w:p w14:paraId="1C7A814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3.5若甲方自行披露乙方正式出具评级报告的，则应当确保披露的内容和信息完整、准确、真实。甲方披露的评级报告与乙方正式出具的不一致的，乙方有权要求甲方在已披露的渠道进行更改，并有权披露已出具的正式版本的评级报告。</w:t>
      </w:r>
    </w:p>
    <w:p w14:paraId="0EA1D26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3.6在甲方主体信用等级有效期内，如遇监管机构、自律性组织等相关有权机构政策调整和变化，甲方有义务配合乙方工作保证本合同项下的主体信用评级工作符合监管要求并顺利进行。</w:t>
      </w:r>
    </w:p>
    <w:p w14:paraId="7A6B9C0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3.7报告用途</w:t>
      </w:r>
    </w:p>
    <w:p w14:paraId="42A275F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3.7.1甲方委托乙方提交信用评级报告的用途为</w:t>
      </w:r>
      <w:r>
        <w:rPr>
          <w:rFonts w:hint="eastAsia" w:ascii="仿宋" w:hAnsi="仿宋" w:eastAsia="仿宋" w:cs="仿宋"/>
          <w:color w:val="auto"/>
          <w:kern w:val="2"/>
          <w:sz w:val="24"/>
          <w:szCs w:val="20"/>
          <w:u w:val="single"/>
          <w:lang w:val="en-US" w:eastAsia="zh-CN" w:bidi="ar"/>
        </w:rPr>
        <w:t xml:space="preserve">：评估主体信用等级  </w:t>
      </w:r>
      <w:r>
        <w:rPr>
          <w:rFonts w:hint="eastAsia" w:ascii="仿宋" w:hAnsi="仿宋" w:eastAsia="仿宋" w:cs="仿宋"/>
          <w:color w:val="auto"/>
          <w:kern w:val="2"/>
          <w:sz w:val="24"/>
          <w:szCs w:val="20"/>
          <w:lang w:val="en-US" w:eastAsia="zh-CN" w:bidi="ar"/>
        </w:rPr>
        <w:t>。</w:t>
      </w:r>
    </w:p>
    <w:p w14:paraId="753E84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3.7.2如甲方使用乙方出具的信用评级报告发债或其他用途，应当提前十个工作日向乙方提出书面申请，并向乙方披露信用评级报告出具日起至甲方书面申请日期间内发生的、可能影响受评对象信用状况的事项，同时提供相关资料，经乙方确认后方可使用。</w:t>
      </w:r>
    </w:p>
    <w:p w14:paraId="3DBF824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3.7.3未经乙方书面确认同意，甲方不得在债券募集说明书等文件中引用乙方出具的信用评级报告的任何内容。如甲方使用乙方出具的信用评级报告违反上述约定，视为甲方根本违约，乙方有权立即公布信用评级报告失效、终止评级。由此产生的所有后果和责任均由甲方承担，乙方不承担任何责任。</w:t>
      </w:r>
    </w:p>
    <w:p w14:paraId="46EC52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2" w:firstLineChars="200"/>
        <w:jc w:val="both"/>
        <w:textAlignment w:val="auto"/>
        <w:rPr>
          <w:rFonts w:hint="eastAsia" w:ascii="仿宋" w:hAnsi="仿宋" w:eastAsia="仿宋" w:cs="仿宋"/>
          <w:b/>
          <w:bCs/>
          <w:color w:val="auto"/>
          <w:sz w:val="24"/>
          <w:szCs w:val="20"/>
          <w:lang w:val="en-US"/>
        </w:rPr>
      </w:pPr>
      <w:r>
        <w:rPr>
          <w:rFonts w:hint="eastAsia" w:ascii="仿宋" w:hAnsi="仿宋" w:eastAsia="仿宋" w:cs="仿宋"/>
          <w:b/>
          <w:bCs/>
          <w:color w:val="auto"/>
          <w:kern w:val="2"/>
          <w:sz w:val="24"/>
          <w:szCs w:val="20"/>
          <w:lang w:val="en-US" w:eastAsia="zh-CN" w:bidi="ar"/>
        </w:rPr>
        <w:t>第四条  乙方的权利与义务</w:t>
      </w:r>
    </w:p>
    <w:p w14:paraId="6FB279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4.1乙方在评级过程中应遵循监管机构、自律性组织及乙方内部规定的业务流程、方法开展评级工作、出具信用评级结果及信用评级报告。</w:t>
      </w:r>
    </w:p>
    <w:p w14:paraId="6D2B329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4.2</w:t>
      </w:r>
      <w:r>
        <w:rPr>
          <w:rFonts w:hint="eastAsia" w:ascii="仿宋" w:hAnsi="仿宋" w:eastAsia="仿宋" w:cs="仿宋"/>
          <w:color w:val="auto"/>
          <w:kern w:val="2"/>
          <w:sz w:val="24"/>
          <w:szCs w:val="22"/>
          <w:lang w:val="en-US" w:eastAsia="zh-CN" w:bidi="ar"/>
        </w:rPr>
        <w:t>乙方按照监管规定进行跟踪评级。</w:t>
      </w:r>
      <w:r>
        <w:rPr>
          <w:rFonts w:hint="eastAsia" w:ascii="仿宋" w:hAnsi="仿宋" w:eastAsia="仿宋" w:cs="仿宋"/>
          <w:color w:val="auto"/>
          <w:kern w:val="2"/>
          <w:sz w:val="24"/>
          <w:szCs w:val="20"/>
          <w:lang w:val="en-US" w:eastAsia="zh-CN" w:bidi="ar"/>
        </w:rPr>
        <w:t>在主体信用评级结果有效期内，如乙方发现甲方出现足以影响评级结果的实际情况变化，在符合法律和监管机构要求的前提下，乙方有权对甲方主体评级采取</w:t>
      </w:r>
      <w:r>
        <w:rPr>
          <w:rFonts w:hint="eastAsia" w:ascii="仿宋" w:hAnsi="仿宋" w:eastAsia="仿宋" w:cs="仿宋"/>
          <w:color w:val="auto"/>
          <w:kern w:val="2"/>
          <w:sz w:val="24"/>
          <w:szCs w:val="22"/>
          <w:lang w:val="en-US" w:eastAsia="zh-CN" w:bidi="ar"/>
        </w:rPr>
        <w:t>调整或撤销信用等级等必要措施</w:t>
      </w:r>
      <w:r>
        <w:rPr>
          <w:rFonts w:hint="eastAsia" w:ascii="仿宋" w:hAnsi="仿宋" w:eastAsia="仿宋" w:cs="仿宋"/>
          <w:color w:val="auto"/>
          <w:kern w:val="2"/>
          <w:sz w:val="24"/>
          <w:szCs w:val="20"/>
          <w:lang w:val="en-US" w:eastAsia="zh-CN" w:bidi="ar"/>
        </w:rPr>
        <w:t>，并可以采取适当的方式将相关措施及评级结果进行公开。</w:t>
      </w:r>
    </w:p>
    <w:p w14:paraId="2F5B27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4.3在甲方主体信用评级结果有效期届满之后，若甲方未委托乙方进行新的主体信用评级或者其他债务融资工具的评级的，乙方有权书面通知甲方并通过乙方的网站对甲方主体信用评级结果有效期届满的事宜进行公告。</w:t>
      </w:r>
    </w:p>
    <w:p w14:paraId="2A96BD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4.4如甲方在乙方承做的其他信用评级项目中作为相关方，且该项目评级工作需要使用甲方信息、数据、资料的，甲方授权乙方在提供评级服务过程中使用已经提供给乙方的信息、数据、资料。</w:t>
      </w:r>
    </w:p>
    <w:p w14:paraId="40D7245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2"/>
          <w:lang w:val="en-US"/>
        </w:rPr>
      </w:pPr>
      <w:r>
        <w:rPr>
          <w:rFonts w:hint="eastAsia" w:ascii="仿宋" w:hAnsi="仿宋" w:eastAsia="仿宋" w:cs="仿宋"/>
          <w:color w:val="auto"/>
          <w:kern w:val="2"/>
          <w:sz w:val="24"/>
          <w:szCs w:val="20"/>
          <w:lang w:val="en-US" w:eastAsia="zh-CN" w:bidi="ar"/>
        </w:rPr>
        <w:t>4.5乙</w:t>
      </w:r>
      <w:r>
        <w:rPr>
          <w:rFonts w:hint="eastAsia" w:ascii="仿宋" w:hAnsi="仿宋" w:eastAsia="仿宋" w:cs="仿宋"/>
          <w:color w:val="auto"/>
          <w:kern w:val="2"/>
          <w:sz w:val="24"/>
          <w:szCs w:val="22"/>
          <w:lang w:val="en-US" w:eastAsia="zh-CN" w:bidi="ar"/>
        </w:rPr>
        <w:t>方出具</w:t>
      </w:r>
      <w:r>
        <w:rPr>
          <w:rFonts w:hint="eastAsia" w:ascii="仿宋" w:hAnsi="仿宋" w:eastAsia="仿宋" w:cs="仿宋"/>
          <w:color w:val="auto"/>
          <w:kern w:val="2"/>
          <w:sz w:val="24"/>
          <w:szCs w:val="20"/>
          <w:lang w:val="en-US" w:eastAsia="zh-CN" w:bidi="ar"/>
        </w:rPr>
        <w:t>信用</w:t>
      </w:r>
      <w:r>
        <w:rPr>
          <w:rFonts w:hint="eastAsia" w:ascii="仿宋" w:hAnsi="仿宋" w:eastAsia="仿宋" w:cs="仿宋"/>
          <w:color w:val="auto"/>
          <w:kern w:val="2"/>
          <w:sz w:val="24"/>
          <w:szCs w:val="22"/>
          <w:lang w:val="en-US" w:eastAsia="zh-CN" w:bidi="ar"/>
        </w:rPr>
        <w:t>评级报告采用的评级符号、评级方法、评级模型等变更并公开披露后，乙方有权调整评级结果并公布。</w:t>
      </w:r>
    </w:p>
    <w:p w14:paraId="102AB40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2" w:firstLineChars="200"/>
        <w:jc w:val="both"/>
        <w:textAlignment w:val="auto"/>
        <w:rPr>
          <w:rFonts w:hint="eastAsia" w:ascii="仿宋" w:hAnsi="仿宋" w:eastAsia="宋体" w:cs="仿宋"/>
          <w:b/>
          <w:bCs/>
          <w:color w:val="auto"/>
          <w:sz w:val="24"/>
          <w:szCs w:val="20"/>
          <w:lang w:val="en-US"/>
        </w:rPr>
      </w:pPr>
      <w:r>
        <w:rPr>
          <w:rFonts w:hint="eastAsia" w:ascii="仿宋" w:hAnsi="仿宋" w:eastAsia="仿宋" w:cs="仿宋"/>
          <w:b/>
          <w:bCs/>
          <w:color w:val="auto"/>
          <w:kern w:val="2"/>
          <w:sz w:val="24"/>
          <w:szCs w:val="20"/>
          <w:lang w:val="en-US" w:eastAsia="zh-CN" w:bidi="ar"/>
        </w:rPr>
        <w:t>第五条  等级告知与复评</w:t>
      </w:r>
    </w:p>
    <w:p w14:paraId="70D998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5.1乙方应当将信用等级结果告知甲方，若甲方对信用等级有异议，应在监管规定时间内向乙方书面申请复评，并向乙方提供充分的补充资料。甲方未按本合同规定提交书面复评申请或补充资料的，视为甲方对信用评级报告内容及评级结果无异议。</w:t>
      </w:r>
    </w:p>
    <w:p w14:paraId="20C182D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color w:val="auto"/>
          <w:kern w:val="0"/>
          <w:lang w:val="en-US"/>
        </w:rPr>
      </w:pPr>
      <w:r>
        <w:rPr>
          <w:rFonts w:hint="eastAsia" w:ascii="仿宋" w:hAnsi="仿宋" w:eastAsia="仿宋" w:cs="仿宋"/>
          <w:color w:val="auto"/>
          <w:kern w:val="2"/>
          <w:sz w:val="24"/>
          <w:szCs w:val="22"/>
          <w:lang w:val="en-US" w:eastAsia="zh-CN" w:bidi="ar"/>
        </w:rPr>
        <w:t>5.2</w:t>
      </w:r>
      <w:r>
        <w:rPr>
          <w:rFonts w:hint="eastAsia" w:ascii="仿宋" w:hAnsi="仿宋" w:eastAsia="仿宋" w:cs="仿宋"/>
          <w:color w:val="auto"/>
          <w:kern w:val="2"/>
          <w:sz w:val="24"/>
          <w:szCs w:val="20"/>
          <w:lang w:val="en-US" w:eastAsia="zh-CN" w:bidi="ar"/>
        </w:rPr>
        <w:t>乙方有权决定是否同意接受甲方复评申请并应将结果告知甲方</w:t>
      </w:r>
      <w:r>
        <w:rPr>
          <w:rFonts w:hint="eastAsia" w:ascii="Times New Roman" w:hAnsi="Times New Roman" w:eastAsia="宋体" w:cs="宋体"/>
          <w:color w:val="auto"/>
          <w:kern w:val="2"/>
          <w:sz w:val="21"/>
          <w:szCs w:val="20"/>
          <w:lang w:val="en-US" w:eastAsia="zh-CN" w:bidi="ar"/>
        </w:rPr>
        <w:t>。</w:t>
      </w:r>
    </w:p>
    <w:p w14:paraId="5F16A77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color w:val="auto"/>
          <w:kern w:val="0"/>
          <w:lang w:val="en-US"/>
        </w:rPr>
      </w:pPr>
      <w:r>
        <w:rPr>
          <w:rFonts w:hint="eastAsia" w:ascii="仿宋" w:hAnsi="仿宋" w:eastAsia="仿宋" w:cs="仿宋"/>
          <w:color w:val="auto"/>
          <w:kern w:val="2"/>
          <w:sz w:val="24"/>
          <w:szCs w:val="20"/>
          <w:lang w:val="en-US" w:eastAsia="zh-CN" w:bidi="ar"/>
        </w:rPr>
        <w:t>5.3复评仅限一次，复评结果为最终评级结果。</w:t>
      </w:r>
    </w:p>
    <w:p w14:paraId="19232C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2" w:firstLineChars="200"/>
        <w:jc w:val="both"/>
        <w:textAlignment w:val="auto"/>
        <w:outlineLvl w:val="0"/>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第六条  信息披露及保密</w:t>
      </w:r>
    </w:p>
    <w:p w14:paraId="5DF50D1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0"/>
          <w:sz w:val="24"/>
          <w:szCs w:val="20"/>
          <w:lang w:val="en-US" w:eastAsia="zh-CN" w:bidi="ar"/>
        </w:rPr>
        <w:t>6.1乙方应在正式出具信用评级报告以及主体信用等级有效期内的相关公告或评级意见提前告知甲方，最终由乙方确定评级报告等文件的内容。如监管机构有信息披露要求的，则乙方有权通过乙方网站和监管机构规定的其他网站及媒体向社会公布。</w:t>
      </w:r>
    </w:p>
    <w:p w14:paraId="25C025AF">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0"/>
          <w:sz w:val="24"/>
          <w:szCs w:val="20"/>
          <w:lang w:val="en-US" w:eastAsia="zh-CN" w:bidi="ar"/>
        </w:rPr>
        <w:t>6.2若甲方自行公告评级报告或评级意见，须至少提前两个工作日通知乙方，并经乙方确认后方可公告。</w:t>
      </w:r>
    </w:p>
    <w:p w14:paraId="734129BB">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0"/>
          <w:sz w:val="24"/>
          <w:szCs w:val="20"/>
          <w:lang w:val="en-US" w:eastAsia="zh-CN" w:bidi="ar"/>
        </w:rPr>
        <w:t>6.3甲方和乙方应对因签署或履行本合同而知悉的与对方相关的、不为公众所知悉的所有信息，以及本合同条款内容和相关谈判信息予以保密。</w:t>
      </w:r>
    </w:p>
    <w:p w14:paraId="21948033">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0"/>
          <w:sz w:val="24"/>
          <w:szCs w:val="20"/>
          <w:lang w:val="en-US" w:eastAsia="zh-CN" w:bidi="ar"/>
        </w:rPr>
        <w:t>6.4保密期限自知悉保密信息之日起，至本合同终止之日起3年止，或者至保密信息被依法披露为公知信息之日止，以更早的时点为准。</w:t>
      </w:r>
    </w:p>
    <w:p w14:paraId="41EA5C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6.5未经对方书面同意，一方不得以任何方式向他人披露对方的保密信息，但因相关法律法规、监管规定或行业规范要求披露的除外。</w:t>
      </w:r>
    </w:p>
    <w:p w14:paraId="16E248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2" w:firstLineChars="200"/>
        <w:jc w:val="both"/>
        <w:textAlignment w:val="auto"/>
        <w:rPr>
          <w:rFonts w:hint="eastAsia" w:ascii="仿宋" w:hAnsi="仿宋" w:eastAsia="仿宋" w:cs="仿宋"/>
          <w:b/>
          <w:bCs/>
          <w:color w:val="auto"/>
          <w:sz w:val="24"/>
          <w:szCs w:val="20"/>
          <w:lang w:val="en-US"/>
        </w:rPr>
      </w:pPr>
      <w:r>
        <w:rPr>
          <w:rFonts w:hint="eastAsia" w:ascii="仿宋" w:hAnsi="仿宋" w:eastAsia="仿宋" w:cs="仿宋"/>
          <w:b/>
          <w:bCs/>
          <w:color w:val="auto"/>
          <w:kern w:val="2"/>
          <w:sz w:val="24"/>
          <w:szCs w:val="20"/>
          <w:lang w:val="en-US" w:eastAsia="zh-CN" w:bidi="ar"/>
        </w:rPr>
        <w:t>第七条  责任限制</w:t>
      </w:r>
    </w:p>
    <w:p w14:paraId="00B07A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7.1乙方对由甲方或其他相关第三方提供给乙方的信息或资料的真实性、准确性、完整性和及时性不作任何保证或给予任何其他担保(无论是对甲方或任何第三方)。</w:t>
      </w:r>
    </w:p>
    <w:p w14:paraId="1CE8506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b/>
          <w:bCs w:val="0"/>
          <w:color w:val="auto"/>
          <w:sz w:val="24"/>
          <w:szCs w:val="22"/>
          <w:lang w:val="en-US"/>
        </w:rPr>
      </w:pPr>
      <w:r>
        <w:rPr>
          <w:rFonts w:hint="eastAsia" w:ascii="仿宋" w:hAnsi="仿宋" w:eastAsia="仿宋" w:cs="仿宋"/>
          <w:color w:val="auto"/>
          <w:kern w:val="2"/>
          <w:sz w:val="24"/>
          <w:szCs w:val="20"/>
          <w:lang w:val="en-US" w:eastAsia="zh-CN" w:bidi="ar"/>
        </w:rPr>
        <w:t>7.2在任何情况下，乙方均不应因依法合规地履行本合同、出具评级结果及信用评级报告及发生本合同第9.1条情形而对甲方或其他任何第三方承担任何赔偿责任。由于甲方向乙方提供的信息或资料存在瑕疵（如不真实、不准确、不完整、不及时或存在隐瞒、遗漏和误导的）而导致乙方的评级结果或信用评级报告不准确或发生任何争议或索赔，乙方对此不承担任何责任(无论是对甲方或任何第三方)。但是本合同第7.2条的上述规定不适用于由于乙方或其雇员的任何欺诈、不诚实或有意的不法行为所导致的任何索赔。</w:t>
      </w:r>
    </w:p>
    <w:p w14:paraId="16B824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2" w:firstLineChars="200"/>
        <w:jc w:val="both"/>
        <w:textAlignment w:val="auto"/>
        <w:outlineLvl w:val="0"/>
        <w:rPr>
          <w:rFonts w:hint="eastAsia" w:ascii="仿宋" w:hAnsi="仿宋" w:eastAsia="仿宋" w:cs="仿宋"/>
          <w:b/>
          <w:bCs w:val="0"/>
          <w:color w:val="auto"/>
          <w:sz w:val="24"/>
          <w:szCs w:val="22"/>
          <w:lang w:val="en-US"/>
        </w:rPr>
      </w:pPr>
      <w:r>
        <w:rPr>
          <w:rFonts w:hint="eastAsia" w:ascii="仿宋" w:hAnsi="仿宋" w:eastAsia="仿宋" w:cs="仿宋"/>
          <w:b/>
          <w:bCs w:val="0"/>
          <w:color w:val="auto"/>
          <w:kern w:val="2"/>
          <w:sz w:val="24"/>
          <w:szCs w:val="22"/>
          <w:lang w:val="en-US" w:eastAsia="zh-CN" w:bidi="ar"/>
        </w:rPr>
        <w:t>第八条  违约责任</w:t>
      </w:r>
    </w:p>
    <w:p w14:paraId="6BA02B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8.1</w:t>
      </w:r>
      <w:r>
        <w:rPr>
          <w:rFonts w:hint="eastAsia" w:ascii="仿宋" w:hAnsi="仿宋" w:eastAsia="仿宋" w:cs="仿宋"/>
          <w:color w:val="auto"/>
          <w:kern w:val="2"/>
          <w:sz w:val="24"/>
          <w:szCs w:val="24"/>
          <w:lang w:val="en-US" w:eastAsia="zh-CN" w:bidi="ar"/>
        </w:rPr>
        <w:t>一方未履行或未按约定履行本合同义务，构成违约，</w:t>
      </w:r>
      <w:r>
        <w:rPr>
          <w:rFonts w:hint="eastAsia" w:ascii="仿宋" w:hAnsi="仿宋" w:eastAsia="仿宋" w:cs="仿宋"/>
          <w:color w:val="auto"/>
          <w:kern w:val="2"/>
          <w:sz w:val="24"/>
          <w:szCs w:val="20"/>
          <w:lang w:val="en-US" w:eastAsia="zh-CN" w:bidi="ar"/>
        </w:rPr>
        <w:t>应当向对方承担违约责任。</w:t>
      </w:r>
    </w:p>
    <w:p w14:paraId="40DBDC2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8.2如因可归责于乙方的原因导致乙方未能向甲方提交信用评级报告，甲方对此无过错的，甲方有权解除合同，乙方应退还甲方已支付的合同价款，并向甲方支付评级费用的5%作为违约金；如因甲方的原因导致乙方未能完成委托事项，乙方无需承担违约责任。乙方完成相应委托事项后，不予退还已收取的评级费用。</w:t>
      </w:r>
    </w:p>
    <w:p w14:paraId="55AE0AA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8.3如甲方无正当理由未及时向乙方支付评级费用，每逾期一天，甲方应向乙方支付评级费用总额的万分之一作为违约金，违约金总额最多不超过合同价的5%。</w:t>
      </w:r>
    </w:p>
    <w:p w14:paraId="572B5360">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60"/>
        </w:tabs>
        <w:kinsoku/>
        <w:wordWrap/>
        <w:overflowPunct/>
        <w:topLinePunct w:val="0"/>
        <w:autoSpaceDE/>
        <w:autoSpaceDN/>
        <w:bidi w:val="0"/>
        <w:adjustRightInd/>
        <w:snapToGrid/>
        <w:spacing w:before="0" w:beforeAutospacing="0" w:after="0" w:afterAutospacing="0" w:line="460" w:lineRule="exact"/>
        <w:ind w:leftChars="0" w:right="0" w:rightChars="0" w:firstLine="504" w:firstLineChars="200"/>
        <w:jc w:val="both"/>
        <w:textAlignment w:val="auto"/>
        <w:rPr>
          <w:rFonts w:hint="eastAsia" w:ascii="仿宋" w:hAnsi="仿宋" w:eastAsia="仿宋" w:cs="仿宋"/>
          <w:color w:val="auto"/>
          <w:w w:val="105"/>
          <w:kern w:val="20"/>
          <w:lang w:val="en-US" w:eastAsia="zh-CN"/>
        </w:rPr>
      </w:pPr>
      <w:r>
        <w:rPr>
          <w:rFonts w:hint="eastAsia" w:ascii="仿宋" w:hAnsi="仿宋" w:eastAsia="仿宋" w:cs="仿宋"/>
          <w:smallCaps/>
          <w:color w:val="auto"/>
          <w:w w:val="105"/>
          <w:kern w:val="20"/>
          <w:sz w:val="24"/>
          <w:szCs w:val="20"/>
          <w:lang w:val="en-US" w:eastAsia="zh-CN" w:bidi="ar"/>
        </w:rPr>
        <w:t>8.4一方违约导致对方无法继续履行本合同的，对方有权以通知的方式解除本合同。</w:t>
      </w:r>
    </w:p>
    <w:p w14:paraId="3B403DB3">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60"/>
        </w:tabs>
        <w:kinsoku/>
        <w:wordWrap/>
        <w:overflowPunct/>
        <w:topLinePunct w:val="0"/>
        <w:autoSpaceDE/>
        <w:autoSpaceDN/>
        <w:bidi w:val="0"/>
        <w:adjustRightInd/>
        <w:snapToGrid/>
        <w:spacing w:before="0" w:beforeAutospacing="0" w:after="0" w:afterAutospacing="0" w:line="460" w:lineRule="exact"/>
        <w:ind w:leftChars="0" w:right="0" w:rightChars="0" w:firstLine="504" w:firstLineChars="200"/>
        <w:jc w:val="both"/>
        <w:textAlignment w:val="auto"/>
        <w:rPr>
          <w:rFonts w:hint="eastAsia" w:ascii="仿宋" w:hAnsi="仿宋" w:eastAsia="仿宋" w:cs="仿宋"/>
          <w:color w:val="auto"/>
          <w:w w:val="105"/>
          <w:kern w:val="20"/>
          <w:lang w:val="en-US" w:eastAsia="zh-CN"/>
        </w:rPr>
      </w:pPr>
      <w:r>
        <w:rPr>
          <w:rFonts w:hint="eastAsia" w:ascii="仿宋" w:hAnsi="仿宋" w:eastAsia="仿宋" w:cs="仿宋"/>
          <w:smallCaps/>
          <w:color w:val="auto"/>
          <w:w w:val="105"/>
          <w:kern w:val="20"/>
          <w:sz w:val="24"/>
          <w:szCs w:val="20"/>
          <w:lang w:val="en-US" w:eastAsia="zh-CN" w:bidi="ar"/>
        </w:rPr>
        <w:t>8.5如因一方</w:t>
      </w:r>
      <w:r>
        <w:rPr>
          <w:rFonts w:hint="eastAsia" w:ascii="仿宋" w:hAnsi="仿宋" w:eastAsia="仿宋" w:cs="仿宋"/>
          <w:bCs/>
          <w:smallCaps/>
          <w:color w:val="auto"/>
          <w:kern w:val="0"/>
          <w:sz w:val="24"/>
          <w:szCs w:val="20"/>
          <w:lang w:val="en-US" w:eastAsia="zh-CN" w:bidi="ar"/>
        </w:rPr>
        <w:t>未履行或未按约定履行本合同义务</w:t>
      </w:r>
      <w:r>
        <w:rPr>
          <w:rFonts w:hint="eastAsia" w:ascii="仿宋" w:hAnsi="仿宋" w:eastAsia="仿宋" w:cs="仿宋"/>
          <w:smallCaps/>
          <w:color w:val="auto"/>
          <w:w w:val="105"/>
          <w:kern w:val="20"/>
          <w:sz w:val="24"/>
          <w:szCs w:val="20"/>
          <w:lang w:val="en-US" w:eastAsia="zh-CN" w:bidi="ar"/>
        </w:rPr>
        <w:t>，使另一方遭受到任何第三方的索赔或任何行政管理部门的处罚，该违约方应对另一方的实际损失承担赔偿责任，赔偿的最高金额不超过本合同标的金额。</w:t>
      </w:r>
    </w:p>
    <w:p w14:paraId="215E205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504" w:firstLineChars="200"/>
        <w:jc w:val="both"/>
        <w:textAlignment w:val="auto"/>
        <w:outlineLvl w:val="0"/>
        <w:rPr>
          <w:rFonts w:hint="eastAsia" w:ascii="仿宋" w:hAnsi="仿宋" w:eastAsia="仿宋" w:cs="仿宋"/>
          <w:smallCaps/>
          <w:color w:val="auto"/>
          <w:w w:val="105"/>
          <w:kern w:val="20"/>
          <w:sz w:val="24"/>
          <w:szCs w:val="22"/>
          <w:lang w:val="en-US"/>
        </w:rPr>
      </w:pPr>
      <w:r>
        <w:rPr>
          <w:rFonts w:hint="eastAsia" w:ascii="仿宋" w:hAnsi="仿宋" w:eastAsia="仿宋" w:cs="仿宋"/>
          <w:smallCaps/>
          <w:color w:val="auto"/>
          <w:w w:val="105"/>
          <w:kern w:val="20"/>
          <w:sz w:val="24"/>
          <w:szCs w:val="22"/>
          <w:lang w:val="en-US" w:eastAsia="zh-CN" w:bidi="ar"/>
        </w:rPr>
        <w:t>8.6因不可抗力导致本合同无法履行或迟延履行的，双方对无法履行或迟延履行义务不承担任何责任，但任何一方迟延履行后发生不可抗力的，该方的责任不能免除。同时，遭受不可抗力的一方应立即用可能的快捷方式通知对方，并在十五日内提供书面文件说明相关事件的细节和不能履行或部分不能履行或需迟延履行本合同的原因。双方应在协商一致的基础上就是否延期履行或终止履行达成书面协议。</w:t>
      </w:r>
    </w:p>
    <w:p w14:paraId="07B1419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2"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b/>
          <w:bCs/>
          <w:color w:val="auto"/>
          <w:kern w:val="2"/>
          <w:sz w:val="24"/>
          <w:szCs w:val="20"/>
          <w:lang w:val="en-US" w:eastAsia="zh-CN" w:bidi="ar"/>
        </w:rPr>
        <w:t>第九条 终止评级</w:t>
      </w:r>
    </w:p>
    <w:p w14:paraId="2247B46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2" w:firstLineChars="200"/>
        <w:jc w:val="both"/>
        <w:textAlignment w:val="auto"/>
        <w:rPr>
          <w:rFonts w:hint="eastAsia" w:ascii="仿宋" w:hAnsi="仿宋" w:eastAsia="仿宋" w:cs="仿宋"/>
          <w:b/>
          <w:bCs/>
          <w:color w:val="auto"/>
          <w:sz w:val="24"/>
          <w:szCs w:val="20"/>
          <w:lang w:val="en-US"/>
        </w:rPr>
      </w:pPr>
      <w:r>
        <w:rPr>
          <w:rFonts w:hint="eastAsia" w:ascii="仿宋" w:hAnsi="仿宋" w:eastAsia="仿宋" w:cs="仿宋"/>
          <w:b/>
          <w:bCs/>
          <w:color w:val="auto"/>
          <w:kern w:val="2"/>
          <w:sz w:val="24"/>
          <w:szCs w:val="20"/>
          <w:lang w:val="en-US" w:eastAsia="zh-CN" w:bidi="ar"/>
        </w:rPr>
        <w:t>9.1发生下列情形之一的，乙方有权终止评级并不退还评级费用：</w:t>
      </w:r>
    </w:p>
    <w:p w14:paraId="4E28BB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9.1.1受评对象因被收购兼并、重组等，导致受评级对象不再存续的，或解散或者被依法宣告破产的；</w:t>
      </w:r>
    </w:p>
    <w:p w14:paraId="313A68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9.1.2资料提供人拒不提供评级所需关键材料或故意提供存在虚假记载、误导性陈述或重大遗漏的材料的；</w:t>
      </w:r>
    </w:p>
    <w:p w14:paraId="7DD7C9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9.1.3甲方以不正当方式干扰乙方开展尽职调查，导致乙方无法获取评级所需关键材料的；</w:t>
      </w:r>
    </w:p>
    <w:p w14:paraId="1C5109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0"/>
          <w:lang w:val="en-US"/>
        </w:rPr>
      </w:pPr>
      <w:r>
        <w:rPr>
          <w:rFonts w:hint="eastAsia" w:ascii="仿宋" w:hAnsi="仿宋" w:eastAsia="仿宋" w:cs="仿宋"/>
          <w:color w:val="auto"/>
          <w:kern w:val="2"/>
          <w:sz w:val="24"/>
          <w:szCs w:val="20"/>
          <w:lang w:val="en-US" w:eastAsia="zh-CN" w:bidi="ar"/>
        </w:rPr>
        <w:t>9.1.4甲方或受评对象以任何方式严重影响乙方的评级过程和评级结果的；</w:t>
      </w:r>
    </w:p>
    <w:p w14:paraId="02E10A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smallCaps/>
          <w:color w:val="auto"/>
          <w:w w:val="105"/>
          <w:kern w:val="20"/>
          <w:sz w:val="24"/>
          <w:szCs w:val="22"/>
          <w:lang w:val="en-US"/>
        </w:rPr>
      </w:pPr>
      <w:r>
        <w:rPr>
          <w:rFonts w:hint="eastAsia" w:ascii="仿宋" w:hAnsi="仿宋" w:eastAsia="仿宋" w:cs="仿宋"/>
          <w:color w:val="auto"/>
          <w:kern w:val="2"/>
          <w:sz w:val="24"/>
          <w:szCs w:val="20"/>
          <w:lang w:val="en-US" w:eastAsia="zh-CN" w:bidi="ar"/>
        </w:rPr>
        <w:t>9.1.5甲方原因导致评级工作不能正常开展的其他情形。</w:t>
      </w:r>
    </w:p>
    <w:p w14:paraId="2E0620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2" w:firstLineChars="200"/>
        <w:jc w:val="both"/>
        <w:textAlignment w:val="auto"/>
        <w:outlineLvl w:val="0"/>
        <w:rPr>
          <w:rFonts w:hint="eastAsia" w:ascii="仿宋" w:hAnsi="仿宋" w:eastAsia="仿宋" w:cs="仿宋"/>
          <w:b/>
          <w:bCs w:val="0"/>
          <w:color w:val="auto"/>
          <w:sz w:val="24"/>
          <w:szCs w:val="20"/>
          <w:lang w:val="en-US"/>
        </w:rPr>
      </w:pPr>
      <w:r>
        <w:rPr>
          <w:rFonts w:hint="eastAsia" w:ascii="仿宋" w:hAnsi="仿宋" w:eastAsia="仿宋" w:cs="仿宋"/>
          <w:b/>
          <w:bCs w:val="0"/>
          <w:color w:val="auto"/>
          <w:kern w:val="2"/>
          <w:sz w:val="24"/>
          <w:szCs w:val="20"/>
          <w:lang w:val="en-US" w:eastAsia="zh-CN" w:bidi="ar"/>
        </w:rPr>
        <w:t>第十条  争议解决</w:t>
      </w:r>
    </w:p>
    <w:p w14:paraId="06CCD869">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60"/>
        </w:tabs>
        <w:kinsoku/>
        <w:wordWrap/>
        <w:overflowPunct/>
        <w:topLinePunct w:val="0"/>
        <w:autoSpaceDE/>
        <w:autoSpaceDN/>
        <w:bidi w:val="0"/>
        <w:adjustRightInd/>
        <w:snapToGrid/>
        <w:spacing w:before="0" w:beforeAutospacing="0" w:after="0" w:afterAutospacing="0" w:line="460" w:lineRule="exact"/>
        <w:ind w:leftChars="0" w:right="0" w:rightChars="0" w:firstLine="504" w:firstLineChars="200"/>
        <w:jc w:val="both"/>
        <w:textAlignment w:val="auto"/>
        <w:rPr>
          <w:rFonts w:hint="eastAsia" w:ascii="仿宋" w:hAnsi="仿宋" w:eastAsia="仿宋" w:cs="仿宋"/>
          <w:color w:val="auto"/>
          <w:w w:val="105"/>
          <w:kern w:val="20"/>
          <w:lang w:val="en-US" w:eastAsia="zh-CN"/>
        </w:rPr>
      </w:pPr>
      <w:r>
        <w:rPr>
          <w:rFonts w:hint="eastAsia" w:ascii="仿宋" w:hAnsi="仿宋" w:eastAsia="仿宋" w:cs="仿宋"/>
          <w:smallCaps/>
          <w:color w:val="auto"/>
          <w:w w:val="105"/>
          <w:kern w:val="20"/>
          <w:sz w:val="24"/>
          <w:szCs w:val="20"/>
          <w:lang w:val="en-US" w:eastAsia="zh-CN" w:bidi="ar"/>
        </w:rPr>
        <w:t>10.1因履行本合同引发的任何争议，甲乙双方应当友好协商解决。</w:t>
      </w:r>
    </w:p>
    <w:p w14:paraId="3B91F7D2">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60"/>
        </w:tabs>
        <w:kinsoku/>
        <w:wordWrap/>
        <w:overflowPunct/>
        <w:topLinePunct w:val="0"/>
        <w:autoSpaceDE/>
        <w:autoSpaceDN/>
        <w:bidi w:val="0"/>
        <w:adjustRightInd/>
        <w:snapToGrid/>
        <w:spacing w:before="0" w:beforeAutospacing="0" w:after="0" w:afterAutospacing="0" w:line="460" w:lineRule="exact"/>
        <w:ind w:leftChars="0" w:right="0" w:rightChars="0" w:firstLine="504" w:firstLineChars="200"/>
        <w:jc w:val="both"/>
        <w:textAlignment w:val="auto"/>
        <w:rPr>
          <w:rFonts w:hint="eastAsia" w:ascii="仿宋" w:hAnsi="仿宋" w:eastAsia="仿宋" w:cs="仿宋"/>
          <w:color w:val="auto"/>
          <w:w w:val="105"/>
          <w:kern w:val="20"/>
          <w:lang w:val="en-US" w:eastAsia="zh-CN"/>
        </w:rPr>
      </w:pPr>
      <w:r>
        <w:rPr>
          <w:rFonts w:hint="eastAsia" w:ascii="仿宋" w:hAnsi="仿宋" w:eastAsia="仿宋" w:cs="仿宋"/>
          <w:smallCaps/>
          <w:color w:val="auto"/>
          <w:w w:val="105"/>
          <w:kern w:val="20"/>
          <w:sz w:val="24"/>
          <w:szCs w:val="20"/>
          <w:lang w:val="en-US" w:eastAsia="zh-CN" w:bidi="ar"/>
        </w:rPr>
        <w:t>10.2如果一方向对方送达了具有协商内容的书面通知超过60天，争议仍未解决，则任何一方均有权向甲方所在地有管辖权的人民法院提起诉讼。</w:t>
      </w:r>
    </w:p>
    <w:p w14:paraId="7107ADCC">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60"/>
        </w:tabs>
        <w:kinsoku/>
        <w:wordWrap/>
        <w:overflowPunct/>
        <w:topLinePunct w:val="0"/>
        <w:autoSpaceDE/>
        <w:autoSpaceDN/>
        <w:bidi w:val="0"/>
        <w:adjustRightInd/>
        <w:snapToGrid/>
        <w:spacing w:before="0" w:beforeAutospacing="0" w:after="0" w:afterAutospacing="0" w:line="460" w:lineRule="exact"/>
        <w:ind w:leftChars="0" w:right="0" w:rightChars="0" w:firstLine="506" w:firstLineChars="200"/>
        <w:jc w:val="both"/>
        <w:textAlignment w:val="auto"/>
        <w:rPr>
          <w:rFonts w:hint="eastAsia" w:ascii="仿宋" w:hAnsi="仿宋" w:eastAsia="仿宋" w:cs="仿宋"/>
          <w:b/>
          <w:bCs/>
          <w:color w:val="auto"/>
          <w:w w:val="105"/>
          <w:kern w:val="20"/>
          <w:lang w:val="en-US" w:eastAsia="zh-CN"/>
        </w:rPr>
      </w:pPr>
      <w:r>
        <w:rPr>
          <w:rFonts w:hint="eastAsia" w:ascii="仿宋" w:hAnsi="仿宋" w:eastAsia="仿宋" w:cs="仿宋"/>
          <w:b/>
          <w:bCs/>
          <w:smallCaps/>
          <w:color w:val="auto"/>
          <w:w w:val="105"/>
          <w:kern w:val="20"/>
          <w:sz w:val="24"/>
          <w:szCs w:val="20"/>
          <w:lang w:val="en-US" w:eastAsia="zh-CN" w:bidi="ar"/>
        </w:rPr>
        <w:t>第十一条  通知与送达</w:t>
      </w:r>
    </w:p>
    <w:p w14:paraId="4F0D35E4">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60"/>
        </w:tabs>
        <w:kinsoku/>
        <w:wordWrap/>
        <w:overflowPunct/>
        <w:topLinePunct w:val="0"/>
        <w:autoSpaceDE/>
        <w:autoSpaceDN/>
        <w:bidi w:val="0"/>
        <w:adjustRightInd/>
        <w:snapToGrid/>
        <w:spacing w:before="0" w:beforeAutospacing="0" w:after="0" w:afterAutospacing="0" w:line="460" w:lineRule="exact"/>
        <w:ind w:leftChars="0" w:right="0" w:rightChars="0" w:firstLine="504" w:firstLineChars="200"/>
        <w:jc w:val="both"/>
        <w:textAlignment w:val="auto"/>
        <w:rPr>
          <w:rFonts w:hint="eastAsia" w:ascii="仿宋" w:hAnsi="仿宋" w:eastAsia="仿宋" w:cs="仿宋"/>
          <w:color w:val="auto"/>
          <w:w w:val="105"/>
          <w:kern w:val="20"/>
          <w:lang w:val="en-US" w:eastAsia="zh-CN"/>
        </w:rPr>
      </w:pPr>
      <w:r>
        <w:rPr>
          <w:rFonts w:hint="eastAsia" w:ascii="仿宋" w:hAnsi="仿宋" w:eastAsia="仿宋" w:cs="仿宋"/>
          <w:smallCaps/>
          <w:color w:val="auto"/>
          <w:w w:val="105"/>
          <w:kern w:val="20"/>
          <w:sz w:val="24"/>
          <w:szCs w:val="20"/>
          <w:lang w:val="en-US" w:eastAsia="zh-CN" w:bidi="ar"/>
        </w:rPr>
        <w:t>11.1本合同首部所列明的联系地址、联系人、联系电话、联系邮箱均为双方确认的有效接收地址、接收人、接收电话、接收邮箱。一方应通过该有效接收信息向对方送达通知、资料等。</w:t>
      </w:r>
    </w:p>
    <w:p w14:paraId="4A7E0492">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60"/>
        </w:tabs>
        <w:kinsoku/>
        <w:wordWrap/>
        <w:overflowPunct/>
        <w:topLinePunct w:val="0"/>
        <w:autoSpaceDE/>
        <w:autoSpaceDN/>
        <w:bidi w:val="0"/>
        <w:adjustRightInd/>
        <w:snapToGrid/>
        <w:spacing w:before="0" w:beforeAutospacing="0" w:after="0" w:afterAutospacing="0" w:line="460" w:lineRule="exact"/>
        <w:ind w:leftChars="0" w:right="0" w:rightChars="0" w:firstLine="504" w:firstLineChars="200"/>
        <w:jc w:val="both"/>
        <w:textAlignment w:val="auto"/>
        <w:rPr>
          <w:rFonts w:hint="eastAsia" w:ascii="仿宋" w:hAnsi="仿宋" w:eastAsia="仿宋" w:cs="仿宋"/>
          <w:color w:val="auto"/>
          <w:w w:val="105"/>
          <w:kern w:val="20"/>
          <w:lang w:val="en-US" w:eastAsia="zh-CN"/>
        </w:rPr>
      </w:pPr>
      <w:r>
        <w:rPr>
          <w:rFonts w:hint="eastAsia" w:ascii="仿宋" w:hAnsi="仿宋" w:eastAsia="仿宋" w:cs="仿宋"/>
          <w:smallCaps/>
          <w:color w:val="auto"/>
          <w:w w:val="105"/>
          <w:kern w:val="20"/>
          <w:sz w:val="24"/>
          <w:szCs w:val="20"/>
          <w:lang w:val="en-US" w:eastAsia="zh-CN" w:bidi="ar"/>
        </w:rPr>
        <w:t>11.2以当面交付方式送达的，接收之时视为送达；以电子邮件方式送达的，电子邮件到达接收邮箱时视为送达；以邮寄方式送达的，签收之时视为送达。</w:t>
      </w:r>
    </w:p>
    <w:p w14:paraId="2C74FE0D">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60"/>
        </w:tabs>
        <w:kinsoku/>
        <w:wordWrap/>
        <w:overflowPunct/>
        <w:topLinePunct w:val="0"/>
        <w:autoSpaceDE/>
        <w:autoSpaceDN/>
        <w:bidi w:val="0"/>
        <w:adjustRightInd/>
        <w:snapToGrid/>
        <w:spacing w:before="0" w:beforeAutospacing="0" w:after="0" w:afterAutospacing="0" w:line="460" w:lineRule="exact"/>
        <w:ind w:leftChars="0" w:right="0" w:rightChars="0" w:firstLine="504" w:firstLineChars="200"/>
        <w:jc w:val="both"/>
        <w:textAlignment w:val="auto"/>
        <w:rPr>
          <w:rFonts w:hint="eastAsia" w:ascii="仿宋" w:hAnsi="仿宋" w:eastAsia="仿宋" w:cs="仿宋"/>
          <w:b/>
          <w:bCs/>
          <w:color w:val="auto"/>
          <w:w w:val="105"/>
          <w:kern w:val="20"/>
          <w:lang w:val="en-US" w:eastAsia="zh-CN"/>
        </w:rPr>
      </w:pPr>
      <w:r>
        <w:rPr>
          <w:rFonts w:hint="eastAsia" w:ascii="仿宋" w:hAnsi="仿宋" w:eastAsia="仿宋" w:cs="仿宋"/>
          <w:smallCaps/>
          <w:color w:val="auto"/>
          <w:w w:val="105"/>
          <w:kern w:val="20"/>
          <w:sz w:val="24"/>
          <w:szCs w:val="20"/>
          <w:lang w:val="en-US" w:eastAsia="zh-CN" w:bidi="ar"/>
        </w:rPr>
        <w:t>11.3一方变更上述接收信息，应当书面通知对方，否则对方通过原接收信息送达的，仍为有效送达。</w:t>
      </w:r>
    </w:p>
    <w:p w14:paraId="6D60C3B7">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60"/>
        </w:tabs>
        <w:kinsoku/>
        <w:wordWrap/>
        <w:overflowPunct/>
        <w:topLinePunct w:val="0"/>
        <w:autoSpaceDE/>
        <w:autoSpaceDN/>
        <w:bidi w:val="0"/>
        <w:adjustRightInd/>
        <w:snapToGrid/>
        <w:spacing w:before="0" w:beforeAutospacing="0" w:after="0" w:afterAutospacing="0" w:line="460" w:lineRule="exact"/>
        <w:ind w:leftChars="0" w:right="0" w:rightChars="0" w:firstLine="506" w:firstLineChars="200"/>
        <w:jc w:val="both"/>
        <w:textAlignment w:val="auto"/>
        <w:rPr>
          <w:rFonts w:hint="eastAsia" w:ascii="仿宋" w:hAnsi="仿宋" w:eastAsia="仿宋" w:cs="仿宋"/>
          <w:b/>
          <w:bCs/>
          <w:color w:val="auto"/>
          <w:w w:val="105"/>
          <w:kern w:val="20"/>
          <w:lang w:val="en-US" w:eastAsia="zh-CN"/>
        </w:rPr>
      </w:pPr>
      <w:r>
        <w:rPr>
          <w:rFonts w:hint="eastAsia" w:ascii="仿宋" w:hAnsi="仿宋" w:eastAsia="仿宋" w:cs="仿宋"/>
          <w:b/>
          <w:bCs/>
          <w:smallCaps/>
          <w:color w:val="auto"/>
          <w:w w:val="105"/>
          <w:kern w:val="20"/>
          <w:sz w:val="24"/>
          <w:szCs w:val="20"/>
          <w:lang w:val="en-US" w:eastAsia="zh-CN" w:bidi="ar"/>
        </w:rPr>
        <w:t>第十二条   合同生效与终止</w:t>
      </w:r>
    </w:p>
    <w:p w14:paraId="256B11C7">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60"/>
        </w:tabs>
        <w:kinsoku/>
        <w:wordWrap/>
        <w:overflowPunct/>
        <w:topLinePunct w:val="0"/>
        <w:autoSpaceDE/>
        <w:autoSpaceDN/>
        <w:bidi w:val="0"/>
        <w:adjustRightInd/>
        <w:snapToGrid/>
        <w:spacing w:before="0" w:beforeAutospacing="0" w:after="0" w:afterAutospacing="0" w:line="460" w:lineRule="exact"/>
        <w:ind w:leftChars="0" w:right="0" w:rightChars="0" w:firstLine="504" w:firstLineChars="200"/>
        <w:jc w:val="both"/>
        <w:textAlignment w:val="auto"/>
        <w:rPr>
          <w:rFonts w:hint="eastAsia" w:ascii="仿宋" w:hAnsi="仿宋" w:eastAsia="仿宋" w:cs="仿宋"/>
          <w:color w:val="auto"/>
          <w:w w:val="105"/>
          <w:kern w:val="20"/>
          <w:lang w:val="en-US" w:eastAsia="zh-CN"/>
        </w:rPr>
      </w:pPr>
      <w:r>
        <w:rPr>
          <w:rFonts w:hint="eastAsia" w:ascii="仿宋" w:hAnsi="仿宋" w:eastAsia="仿宋" w:cs="仿宋"/>
          <w:smallCaps/>
          <w:color w:val="auto"/>
          <w:w w:val="105"/>
          <w:kern w:val="20"/>
          <w:sz w:val="24"/>
          <w:szCs w:val="20"/>
          <w:lang w:val="en-US" w:eastAsia="zh-CN" w:bidi="ar"/>
        </w:rPr>
        <w:t>12.1本合同经双方法定代表人或授权代表签字或签章并加盖公章或合同专用章后生效。</w:t>
      </w:r>
    </w:p>
    <w:p w14:paraId="2C0422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504" w:firstLineChars="200"/>
        <w:jc w:val="both"/>
        <w:textAlignment w:val="auto"/>
        <w:rPr>
          <w:rFonts w:hint="eastAsia" w:ascii="仿宋" w:hAnsi="仿宋" w:eastAsia="仿宋" w:cs="仿宋"/>
          <w:smallCaps/>
          <w:color w:val="auto"/>
          <w:w w:val="105"/>
          <w:kern w:val="20"/>
          <w:sz w:val="24"/>
          <w:szCs w:val="22"/>
          <w:lang w:val="en-US"/>
        </w:rPr>
      </w:pPr>
      <w:r>
        <w:rPr>
          <w:rFonts w:hint="eastAsia" w:ascii="仿宋" w:hAnsi="仿宋" w:eastAsia="仿宋" w:cs="仿宋"/>
          <w:smallCaps/>
          <w:color w:val="auto"/>
          <w:w w:val="105"/>
          <w:kern w:val="20"/>
          <w:sz w:val="24"/>
          <w:szCs w:val="22"/>
          <w:lang w:val="en-US" w:eastAsia="zh-CN" w:bidi="ar"/>
        </w:rPr>
        <w:t>12.2本合同自双方协商一致或评级报告有效期满之日终止；如未出具信用评级报告，则乙方终止评级之日为合同终止日。</w:t>
      </w:r>
    </w:p>
    <w:p w14:paraId="7A0B78E0">
      <w:pPr>
        <w:pStyle w:val="11"/>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tabs>
          <w:tab w:val="left" w:pos="360"/>
        </w:tabs>
        <w:kinsoku/>
        <w:wordWrap/>
        <w:overflowPunct/>
        <w:topLinePunct w:val="0"/>
        <w:autoSpaceDE/>
        <w:autoSpaceDN/>
        <w:bidi w:val="0"/>
        <w:adjustRightInd/>
        <w:snapToGrid/>
        <w:spacing w:before="0" w:beforeAutospacing="0" w:after="0" w:afterAutospacing="0" w:line="460" w:lineRule="exact"/>
        <w:ind w:left="0" w:leftChars="0" w:right="0" w:firstLine="506" w:firstLineChars="200"/>
        <w:jc w:val="both"/>
        <w:textAlignment w:val="auto"/>
        <w:rPr>
          <w:rFonts w:hint="eastAsia" w:ascii="仿宋" w:hAnsi="仿宋" w:eastAsia="仿宋" w:cs="仿宋"/>
          <w:b/>
          <w:bCs/>
          <w:color w:val="auto"/>
          <w:w w:val="105"/>
          <w:kern w:val="20"/>
          <w:lang w:val="en-US" w:eastAsia="zh-CN"/>
        </w:rPr>
      </w:pPr>
      <w:r>
        <w:rPr>
          <w:rFonts w:hint="eastAsia" w:ascii="仿宋" w:hAnsi="仿宋" w:eastAsia="仿宋" w:cs="仿宋"/>
          <w:b/>
          <w:bCs/>
          <w:smallCaps/>
          <w:color w:val="auto"/>
          <w:w w:val="105"/>
          <w:kern w:val="20"/>
          <w:sz w:val="24"/>
          <w:szCs w:val="20"/>
          <w:lang w:val="en-US" w:eastAsia="zh-CN" w:bidi="ar"/>
        </w:rPr>
        <w:t>第十三条   廉洁条款</w:t>
      </w:r>
    </w:p>
    <w:p w14:paraId="0899C4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甲乙双方在履行合同义务时廉洁高效合作、双方工作人员廉洁从业，双方郑重承诺如下：</w:t>
      </w:r>
    </w:p>
    <w:p w14:paraId="26D5173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b/>
          <w:bCs/>
          <w:color w:val="auto"/>
          <w:sz w:val="24"/>
          <w:szCs w:val="24"/>
          <w:lang w:val="en-US"/>
        </w:rPr>
      </w:pPr>
      <w:r>
        <w:rPr>
          <w:rFonts w:hint="eastAsia" w:ascii="仿宋" w:hAnsi="仿宋" w:eastAsia="仿宋" w:cs="仿宋"/>
          <w:color w:val="auto"/>
          <w:kern w:val="2"/>
          <w:sz w:val="24"/>
          <w:szCs w:val="24"/>
          <w:lang w:val="en-US" w:eastAsia="zh-CN" w:bidi="ar"/>
        </w:rPr>
        <w:t>13.1甲乙双方均不收受任何形式的商业贿赂，包括但不限于下列情形</w:t>
      </w:r>
      <w:r>
        <w:rPr>
          <w:rFonts w:hint="eastAsia" w:ascii="仿宋" w:hAnsi="仿宋" w:eastAsia="仿宋" w:cs="仿宋"/>
          <w:b/>
          <w:bCs/>
          <w:color w:val="auto"/>
          <w:kern w:val="2"/>
          <w:sz w:val="24"/>
          <w:szCs w:val="24"/>
          <w:lang w:val="en-US" w:eastAsia="zh-CN" w:bidi="ar"/>
        </w:rPr>
        <w:t>：</w:t>
      </w:r>
    </w:p>
    <w:p w14:paraId="514937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13.1.1以任何方式向对方或其人员索要或接受现金、礼金、有价证券、支付凭证、购物卡、礼品、烟酒、贵重物品、回扣、好处费、感谢费、中介费、佣金等；</w:t>
      </w:r>
    </w:p>
    <w:p w14:paraId="7F5F889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13.1.2以任何方式要求、暗示、接受对方或其人员在个人装修住房、子女升学、婚丧嫁娶、配偶或子女安排工作以及出国(境)、旅游时等提供方便或好处；</w:t>
      </w:r>
    </w:p>
    <w:p w14:paraId="69255D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13.1.3参与对方或其人员提供、组织的宴请、赌博、健身、娱乐(包括但不限于营业性的歌厅、舞厅、KTV、夜总会、桑拿、按摩和高尔夫球等)等活动；</w:t>
      </w:r>
    </w:p>
    <w:p w14:paraId="34416D0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13.1.4利用工作之便，接受、占用或以明显低于市场价格购买、租用对方或其人员提供的住房、交通工具、通信工具和高档办公用品等；</w:t>
      </w:r>
    </w:p>
    <w:p w14:paraId="13F884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13.1.5在对方处报销应自行承担的任何费用。</w:t>
      </w:r>
    </w:p>
    <w:p w14:paraId="19A610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13.2甲乙双方均不违规进行商务交往，包括但不限于下列情形：</w:t>
      </w:r>
    </w:p>
    <w:p w14:paraId="504EEED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13.2.1在非办公场所单独或未经批准会见对方或其人员，要求对方或其人员接送；</w:t>
      </w:r>
    </w:p>
    <w:p w14:paraId="44ED43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13.2.2利用职权或工作之便向对方或其人员提出与合作无关的事项或要求；</w:t>
      </w:r>
    </w:p>
    <w:p w14:paraId="7DDB70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13.2.3与对方或其人员通过第三方进行的任何形式的违规商务交往。</w:t>
      </w:r>
    </w:p>
    <w:p w14:paraId="3B3131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13.3甲乙双方均不谋取不正当利益，包括但不限于下列情形：</w:t>
      </w:r>
    </w:p>
    <w:p w14:paraId="18760A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13.3.1与对方或其人员串通谋取不正当利益；</w:t>
      </w:r>
    </w:p>
    <w:p w14:paraId="550591E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13.3.2利用职权或工作之便，为亲属或朋友谋取不正当利益；</w:t>
      </w:r>
    </w:p>
    <w:p w14:paraId="742A25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13.3.3利用属于对方的商业秘密谋取个人私利，或将其提供、泄漏给他人。</w:t>
      </w:r>
    </w:p>
    <w:p w14:paraId="4348F53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13.4甲乙双方承诺企业及其实际控制人不存在且未参与洗钱、恐怖融资、涉黑涉恶等违法犯罪行为，若发生上述事件将及时通报对方。</w:t>
      </w:r>
    </w:p>
    <w:p w14:paraId="2EED47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13.5如一方违反上述廉洁承诺事项，情节严重的，构成违约。守约方有权终止或解除合同，并有权要求违约方承担违约责任、赔偿实际损失，赔偿的最高金额不超过本合同标的金额。</w:t>
      </w:r>
    </w:p>
    <w:p w14:paraId="23E416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13.6甲方如发现乙方工作人员存在上述违规情形的，可向乙方纪委举报。</w:t>
      </w:r>
    </w:p>
    <w:p w14:paraId="599C7BC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地址：</w:t>
      </w:r>
    </w:p>
    <w:p w14:paraId="48A931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电话：</w:t>
      </w:r>
    </w:p>
    <w:p w14:paraId="22CFF24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leftChars="0" w:right="0" w:firstLine="480" w:firstLineChars="200"/>
        <w:jc w:val="both"/>
        <w:textAlignment w:val="auto"/>
        <w:rPr>
          <w:rFonts w:hint="eastAsia" w:ascii="仿宋" w:hAnsi="仿宋" w:eastAsia="仿宋" w:cs="仿宋"/>
          <w:color w:val="auto"/>
          <w:w w:val="105"/>
          <w:kern w:val="20"/>
          <w:lang w:val="en-US"/>
        </w:rPr>
      </w:pPr>
      <w:r>
        <w:rPr>
          <w:rFonts w:hint="eastAsia" w:ascii="仿宋" w:hAnsi="仿宋" w:eastAsia="仿宋" w:cs="仿宋"/>
          <w:color w:val="auto"/>
          <w:kern w:val="2"/>
          <w:sz w:val="24"/>
          <w:szCs w:val="24"/>
          <w:lang w:val="en-US" w:eastAsia="zh-CN" w:bidi="ar"/>
        </w:rPr>
        <w:t>邮箱：</w:t>
      </w:r>
    </w:p>
    <w:p w14:paraId="18111110">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60"/>
        </w:tabs>
        <w:kinsoku/>
        <w:wordWrap/>
        <w:overflowPunct/>
        <w:topLinePunct w:val="0"/>
        <w:autoSpaceDE/>
        <w:autoSpaceDN/>
        <w:bidi w:val="0"/>
        <w:adjustRightInd/>
        <w:snapToGrid/>
        <w:spacing w:before="0" w:beforeAutospacing="0" w:after="0" w:afterAutospacing="0" w:line="460" w:lineRule="exact"/>
        <w:ind w:leftChars="0" w:right="0" w:rightChars="0" w:firstLine="506" w:firstLineChars="200"/>
        <w:jc w:val="both"/>
        <w:textAlignment w:val="auto"/>
        <w:rPr>
          <w:rFonts w:hint="eastAsia" w:ascii="仿宋" w:hAnsi="仿宋" w:eastAsia="仿宋" w:cs="仿宋"/>
          <w:b/>
          <w:bCs/>
          <w:color w:val="auto"/>
          <w:w w:val="105"/>
          <w:kern w:val="20"/>
          <w:lang w:val="en-US" w:eastAsia="zh-CN"/>
        </w:rPr>
      </w:pPr>
      <w:r>
        <w:rPr>
          <w:rFonts w:hint="eastAsia" w:ascii="仿宋" w:hAnsi="仿宋" w:eastAsia="仿宋" w:cs="仿宋"/>
          <w:b/>
          <w:bCs/>
          <w:smallCaps/>
          <w:color w:val="auto"/>
          <w:w w:val="105"/>
          <w:kern w:val="20"/>
          <w:sz w:val="24"/>
          <w:szCs w:val="20"/>
          <w:lang w:val="en-US" w:eastAsia="zh-CN" w:bidi="ar"/>
        </w:rPr>
        <w:t>第十四条  其他约定</w:t>
      </w:r>
    </w:p>
    <w:p w14:paraId="3FCB7450">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60"/>
        </w:tabs>
        <w:kinsoku/>
        <w:wordWrap/>
        <w:overflowPunct/>
        <w:topLinePunct w:val="0"/>
        <w:autoSpaceDE/>
        <w:autoSpaceDN/>
        <w:bidi w:val="0"/>
        <w:adjustRightInd/>
        <w:snapToGrid/>
        <w:spacing w:before="0" w:beforeAutospacing="0" w:after="0" w:afterAutospacing="0" w:line="460" w:lineRule="exact"/>
        <w:ind w:leftChars="0" w:right="0" w:rightChars="0" w:firstLine="504" w:firstLineChars="200"/>
        <w:jc w:val="both"/>
        <w:textAlignment w:val="auto"/>
        <w:rPr>
          <w:rFonts w:hint="eastAsia" w:ascii="仿宋" w:hAnsi="仿宋" w:eastAsia="仿宋" w:cs="仿宋"/>
          <w:color w:val="auto"/>
          <w:w w:val="105"/>
          <w:kern w:val="20"/>
          <w:lang w:val="en-US" w:eastAsia="zh-CN"/>
        </w:rPr>
      </w:pPr>
      <w:r>
        <w:rPr>
          <w:rFonts w:hint="eastAsia" w:ascii="仿宋" w:hAnsi="仿宋" w:eastAsia="仿宋" w:cs="仿宋"/>
          <w:smallCaps/>
          <w:color w:val="auto"/>
          <w:w w:val="105"/>
          <w:kern w:val="20"/>
          <w:sz w:val="24"/>
          <w:szCs w:val="20"/>
          <w:lang w:val="en-US" w:eastAsia="zh-CN" w:bidi="ar"/>
        </w:rPr>
        <w:t>14.1本合同未尽事宜由双方协商签订补充协议作为合同附件。</w:t>
      </w:r>
    </w:p>
    <w:p w14:paraId="3F4E3ADB">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60"/>
        </w:tabs>
        <w:kinsoku/>
        <w:wordWrap/>
        <w:overflowPunct/>
        <w:topLinePunct w:val="0"/>
        <w:autoSpaceDE/>
        <w:autoSpaceDN/>
        <w:bidi w:val="0"/>
        <w:adjustRightInd/>
        <w:snapToGrid/>
        <w:spacing w:before="0" w:beforeAutospacing="0" w:after="0" w:afterAutospacing="0" w:line="460" w:lineRule="exact"/>
        <w:ind w:leftChars="0" w:right="0" w:rightChars="0" w:firstLine="504" w:firstLineChars="200"/>
        <w:jc w:val="both"/>
        <w:textAlignment w:val="auto"/>
        <w:rPr>
          <w:rFonts w:hint="eastAsia" w:ascii="仿宋" w:hAnsi="仿宋" w:eastAsia="仿宋" w:cs="仿宋"/>
          <w:color w:val="auto"/>
          <w:w w:val="105"/>
          <w:kern w:val="20"/>
          <w:lang w:val="en-US" w:eastAsia="zh-CN"/>
        </w:rPr>
      </w:pPr>
      <w:r>
        <w:rPr>
          <w:rFonts w:hint="eastAsia" w:ascii="仿宋" w:hAnsi="仿宋" w:eastAsia="仿宋" w:cs="仿宋"/>
          <w:smallCaps/>
          <w:color w:val="auto"/>
          <w:w w:val="105"/>
          <w:kern w:val="20"/>
          <w:sz w:val="24"/>
          <w:szCs w:val="20"/>
          <w:lang w:val="en-US" w:eastAsia="zh-CN" w:bidi="ar"/>
        </w:rPr>
        <w:t>14.2合同附件与本合同具有同等法律效力。</w:t>
      </w:r>
    </w:p>
    <w:p w14:paraId="6460D407">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60"/>
        </w:tabs>
        <w:kinsoku/>
        <w:wordWrap/>
        <w:overflowPunct/>
        <w:topLinePunct w:val="0"/>
        <w:autoSpaceDE/>
        <w:autoSpaceDN/>
        <w:bidi w:val="0"/>
        <w:adjustRightInd/>
        <w:snapToGrid/>
        <w:spacing w:before="0" w:beforeAutospacing="0" w:after="0" w:afterAutospacing="0" w:line="460" w:lineRule="exact"/>
        <w:ind w:leftChars="0" w:right="0" w:rightChars="0" w:firstLine="504" w:firstLineChars="200"/>
        <w:jc w:val="both"/>
        <w:textAlignment w:val="auto"/>
        <w:rPr>
          <w:rFonts w:hint="eastAsia" w:ascii="仿宋" w:hAnsi="仿宋" w:eastAsia="仿宋" w:cs="仿宋"/>
          <w:color w:val="auto"/>
          <w:w w:val="105"/>
          <w:kern w:val="20"/>
          <w:lang w:val="en-US" w:eastAsia="zh-CN"/>
        </w:rPr>
      </w:pPr>
      <w:r>
        <w:rPr>
          <w:rFonts w:hint="eastAsia" w:ascii="仿宋" w:hAnsi="仿宋" w:eastAsia="仿宋" w:cs="仿宋"/>
          <w:smallCaps/>
          <w:color w:val="auto"/>
          <w:w w:val="105"/>
          <w:kern w:val="20"/>
          <w:sz w:val="24"/>
          <w:szCs w:val="20"/>
          <w:lang w:val="en-US" w:eastAsia="zh-CN" w:bidi="ar"/>
        </w:rPr>
        <w:t>14.3本合同一式</w:t>
      </w:r>
      <w:r>
        <w:rPr>
          <w:rFonts w:hint="eastAsia" w:ascii="仿宋" w:hAnsi="仿宋" w:eastAsia="仿宋" w:cs="仿宋"/>
          <w:smallCaps/>
          <w:color w:val="auto"/>
          <w:w w:val="105"/>
          <w:kern w:val="20"/>
          <w:sz w:val="24"/>
          <w:szCs w:val="20"/>
          <w:u w:val="single"/>
          <w:lang w:val="en-US" w:eastAsia="zh-CN" w:bidi="ar"/>
        </w:rPr>
        <w:t xml:space="preserve"> 肆  </w:t>
      </w:r>
      <w:r>
        <w:rPr>
          <w:rFonts w:hint="eastAsia" w:ascii="仿宋" w:hAnsi="仿宋" w:eastAsia="仿宋" w:cs="仿宋"/>
          <w:smallCaps/>
          <w:color w:val="auto"/>
          <w:w w:val="105"/>
          <w:kern w:val="20"/>
          <w:sz w:val="24"/>
          <w:szCs w:val="20"/>
          <w:lang w:val="en-US" w:eastAsia="zh-CN" w:bidi="ar"/>
        </w:rPr>
        <w:t>份，双方各执</w:t>
      </w:r>
      <w:r>
        <w:rPr>
          <w:rFonts w:hint="eastAsia" w:ascii="仿宋" w:hAnsi="仿宋" w:eastAsia="仿宋" w:cs="仿宋"/>
          <w:smallCaps/>
          <w:color w:val="auto"/>
          <w:w w:val="105"/>
          <w:kern w:val="20"/>
          <w:sz w:val="24"/>
          <w:szCs w:val="20"/>
          <w:u w:val="single"/>
          <w:lang w:val="en-US" w:eastAsia="zh-CN" w:bidi="ar"/>
        </w:rPr>
        <w:t xml:space="preserve"> 贰  </w:t>
      </w:r>
      <w:r>
        <w:rPr>
          <w:rFonts w:hint="eastAsia" w:ascii="仿宋" w:hAnsi="仿宋" w:eastAsia="仿宋" w:cs="仿宋"/>
          <w:smallCaps/>
          <w:color w:val="auto"/>
          <w:w w:val="105"/>
          <w:kern w:val="20"/>
          <w:sz w:val="24"/>
          <w:szCs w:val="20"/>
          <w:lang w:val="en-US" w:eastAsia="zh-CN" w:bidi="ar"/>
        </w:rPr>
        <w:t>份，具有同等法律效力。</w:t>
      </w:r>
    </w:p>
    <w:p w14:paraId="5908BC3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p>
    <w:p w14:paraId="2AEF21D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甲方（盖章）： 河池市城市投资建设发展有限公司</w:t>
      </w:r>
    </w:p>
    <w:p w14:paraId="4A6CD59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p>
    <w:p w14:paraId="79FA9F2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 xml:space="preserve">法定代表人（或授权代表）：    </w:t>
      </w:r>
    </w:p>
    <w:p w14:paraId="1E8541B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p>
    <w:p w14:paraId="743077A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经办人：</w:t>
      </w:r>
    </w:p>
    <w:p w14:paraId="4666066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 xml:space="preserve">      </w:t>
      </w:r>
    </w:p>
    <w:p w14:paraId="264BE11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firstLine="759" w:firstLineChars="30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 xml:space="preserve">年   月  日    </w:t>
      </w:r>
    </w:p>
    <w:p w14:paraId="22467D6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p>
    <w:p w14:paraId="0167F70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p>
    <w:p w14:paraId="60D7A9D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p>
    <w:p w14:paraId="53B20D1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p>
    <w:p w14:paraId="432AD17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乙方（盖章）：</w:t>
      </w:r>
    </w:p>
    <w:p w14:paraId="767FB56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p>
    <w:p w14:paraId="6156700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 xml:space="preserve">法定代表人（或授权代表）：   </w:t>
      </w:r>
    </w:p>
    <w:p w14:paraId="1329AB3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p>
    <w:p w14:paraId="5C25044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 xml:space="preserve">经办人：   </w:t>
      </w:r>
    </w:p>
    <w:p w14:paraId="5591C46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jc w:val="both"/>
        <w:rPr>
          <w:rFonts w:hint="eastAsia" w:ascii="仿宋" w:hAnsi="仿宋" w:eastAsia="仿宋" w:cs="仿宋"/>
          <w:b/>
          <w:bCs/>
          <w:color w:val="auto"/>
          <w:w w:val="105"/>
          <w:kern w:val="20"/>
          <w:sz w:val="24"/>
          <w:szCs w:val="24"/>
          <w:lang w:val="en-US"/>
        </w:rPr>
      </w:pPr>
      <w:r>
        <w:rPr>
          <w:rFonts w:hint="eastAsia" w:ascii="仿宋" w:hAnsi="仿宋" w:eastAsia="仿宋" w:cs="仿宋"/>
          <w:b/>
          <w:bCs/>
          <w:color w:val="auto"/>
          <w:w w:val="105"/>
          <w:kern w:val="20"/>
          <w:sz w:val="24"/>
          <w:szCs w:val="24"/>
          <w:lang w:val="en-US" w:eastAsia="zh-CN" w:bidi="ar"/>
        </w:rPr>
        <w:t xml:space="preserve">       </w:t>
      </w:r>
    </w:p>
    <w:p w14:paraId="1843136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420" w:leftChars="200" w:right="0" w:firstLine="759" w:firstLineChars="300"/>
        <w:jc w:val="both"/>
        <w:rPr>
          <w:rFonts w:hint="eastAsia"/>
          <w:color w:val="auto"/>
          <w:highlight w:val="none"/>
          <w:lang w:val="en-US" w:eastAsia="zh-CN"/>
        </w:rPr>
      </w:pPr>
      <w:r>
        <w:rPr>
          <w:rFonts w:hint="eastAsia" w:ascii="仿宋" w:hAnsi="仿宋" w:eastAsia="仿宋" w:cs="仿宋"/>
          <w:b/>
          <w:bCs/>
          <w:color w:val="auto"/>
          <w:w w:val="105"/>
          <w:kern w:val="20"/>
          <w:sz w:val="24"/>
          <w:szCs w:val="24"/>
          <w:lang w:val="en-US" w:eastAsia="zh-CN" w:bidi="ar"/>
        </w:rPr>
        <w:t>年   月  日</w:t>
      </w:r>
    </w:p>
    <w:sectPr>
      <w:headerReference r:id="rId3" w:type="default"/>
      <w:footerReference r:id="rId4" w:type="default"/>
      <w:pgSz w:w="11906" w:h="16838"/>
      <w:pgMar w:top="2098"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金山简黑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9F0F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1029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01029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141B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72D4E6"/>
    <w:multiLevelType w:val="multilevel"/>
    <w:tmpl w:val="5E72D4E6"/>
    <w:lvl w:ilvl="0" w:tentative="0">
      <w:start w:val="1"/>
      <w:numFmt w:val="decimal"/>
      <w:lvlText w:val="%1."/>
      <w:lvlJc w:val="left"/>
      <w:pPr>
        <w:tabs>
          <w:tab w:val="left" w:pos="720"/>
        </w:tabs>
        <w:ind w:left="0" w:firstLine="0"/>
      </w:pPr>
      <w:rPr>
        <w:rFonts w:ascii="Times New Roman" w:hAnsi="Times New Roman"/>
        <w:b/>
        <w:i w:val="0"/>
        <w:color w:val="auto"/>
        <w:u w:val="none"/>
      </w:rPr>
    </w:lvl>
    <w:lvl w:ilvl="1" w:tentative="0">
      <w:start w:val="1"/>
      <w:numFmt w:val="decimal"/>
      <w:lvlText w:val="%1.%2"/>
      <w:lvlJc w:val="left"/>
      <w:pPr>
        <w:tabs>
          <w:tab w:val="left" w:pos="720"/>
        </w:tabs>
        <w:ind w:left="0" w:firstLine="0"/>
      </w:pPr>
      <w:rPr>
        <w:rFonts w:ascii="Times New Roman" w:hAnsi="Times New Roman"/>
        <w:b w:val="0"/>
        <w:i w:val="0"/>
        <w:color w:val="auto"/>
        <w:u w:val="none"/>
      </w:rPr>
    </w:lvl>
    <w:lvl w:ilvl="2" w:tentative="0">
      <w:start w:val="1"/>
      <w:numFmt w:val="lowerLetter"/>
      <w:lvlText w:val="(%3)"/>
      <w:lvlJc w:val="left"/>
      <w:pPr>
        <w:tabs>
          <w:tab w:val="left" w:pos="720"/>
        </w:tabs>
        <w:ind w:left="720" w:hanging="720"/>
      </w:pPr>
      <w:rPr>
        <w:rFonts w:ascii="Times New Roman" w:hAnsi="Times New Roman"/>
        <w:b w:val="0"/>
        <w:i w:val="0"/>
        <w:color w:val="auto"/>
        <w:u w:val="none"/>
      </w:rPr>
    </w:lvl>
    <w:lvl w:ilvl="3" w:tentative="0">
      <w:start w:val="1"/>
      <w:numFmt w:val="lowerRoman"/>
      <w:pStyle w:val="30"/>
      <w:lvlText w:val="(%4)"/>
      <w:lvlJc w:val="right"/>
      <w:pPr>
        <w:tabs>
          <w:tab w:val="left" w:pos="1440"/>
        </w:tabs>
        <w:ind w:left="1440" w:hanging="216"/>
      </w:pPr>
      <w:rPr>
        <w:rFonts w:ascii="Times New Roman" w:hAnsi="Times New Roman"/>
        <w:b w:val="0"/>
        <w:i w:val="0"/>
        <w:color w:val="auto"/>
        <w:u w:val="none"/>
      </w:rPr>
    </w:lvl>
    <w:lvl w:ilvl="4" w:tentative="0">
      <w:start w:val="1"/>
      <w:numFmt w:val="upperLetter"/>
      <w:lvlText w:val="(%5)"/>
      <w:lvlJc w:val="left"/>
      <w:pPr>
        <w:tabs>
          <w:tab w:val="left" w:pos="2160"/>
        </w:tabs>
        <w:ind w:left="2160" w:hanging="720"/>
      </w:pPr>
      <w:rPr>
        <w:rFonts w:ascii="Times New Roman" w:hAnsi="Times New Roman"/>
        <w:b w:val="0"/>
        <w:i w:val="0"/>
        <w:color w:val="auto"/>
        <w:u w:val="none"/>
      </w:rPr>
    </w:lvl>
    <w:lvl w:ilvl="5" w:tentative="0">
      <w:start w:val="1"/>
      <w:numFmt w:val="upperRoman"/>
      <w:lvlText w:val="(%6)"/>
      <w:lvlJc w:val="right"/>
      <w:pPr>
        <w:tabs>
          <w:tab w:val="left" w:pos="2880"/>
        </w:tabs>
        <w:ind w:left="2880" w:hanging="216"/>
      </w:pPr>
      <w:rPr>
        <w:rFonts w:ascii="Times New Roman" w:hAnsi="Times New Roman"/>
        <w:b w:val="0"/>
        <w:i w:val="0"/>
        <w:color w:val="auto"/>
        <w:u w:val="none"/>
      </w:rPr>
    </w:lvl>
    <w:lvl w:ilvl="6" w:tentative="0">
      <w:start w:val="27"/>
      <w:numFmt w:val="lowerLetter"/>
      <w:lvlText w:val="(%7)"/>
      <w:lvlJc w:val="left"/>
      <w:pPr>
        <w:tabs>
          <w:tab w:val="left" w:pos="3600"/>
        </w:tabs>
        <w:ind w:left="3600" w:hanging="720"/>
      </w:pPr>
      <w:rPr>
        <w:rFonts w:ascii="Times New Roman" w:hAnsi="Times New Roman"/>
        <w:b w:val="0"/>
        <w:i w:val="0"/>
        <w:color w:val="auto"/>
        <w:u w:val="none"/>
      </w:rPr>
    </w:lvl>
    <w:lvl w:ilvl="7" w:tentative="0">
      <w:start w:val="1"/>
      <w:numFmt w:val="decimal"/>
      <w:lvlText w:val="(%8)"/>
      <w:lvlJc w:val="left"/>
      <w:pPr>
        <w:tabs>
          <w:tab w:val="left" w:pos="4320"/>
        </w:tabs>
        <w:ind w:left="4320" w:hanging="720"/>
      </w:pPr>
      <w:rPr>
        <w:rFonts w:ascii="Times New Roman" w:hAnsi="Times New Roman"/>
        <w:b w:val="0"/>
        <w:i w:val="0"/>
        <w:color w:val="auto"/>
        <w:u w:val="none"/>
      </w:rPr>
    </w:lvl>
    <w:lvl w:ilvl="8" w:tentative="0">
      <w:start w:val="1"/>
      <w:numFmt w:val="lowerRoman"/>
      <w:lvlText w:val="%9)"/>
      <w:lvlJc w:val="left"/>
      <w:pPr>
        <w:tabs>
          <w:tab w:val="left" w:pos="5760"/>
        </w:tabs>
        <w:ind w:left="5760" w:hanging="720"/>
      </w:pPr>
      <w:rPr>
        <w:rFonts w:ascii="Times New Roman" w:hAnsi="Times New Roman"/>
        <w:b w:val="0"/>
        <w:i w:val="0"/>
        <w:color w:val="auto"/>
        <w:u w:val="none"/>
      </w:rPr>
    </w:lvl>
  </w:abstractNum>
  <w:abstractNum w:abstractNumId="1">
    <w:nsid w:val="713B4018"/>
    <w:multiLevelType w:val="singleLevel"/>
    <w:tmpl w:val="713B4018"/>
    <w:lvl w:ilvl="0" w:tentative="0">
      <w:start w:val="1"/>
      <w:numFmt w:val="upperLetter"/>
      <w:pStyle w:val="3"/>
      <w:lvlText w:val="%1."/>
      <w:lvlJc w:val="left"/>
      <w:pPr>
        <w:tabs>
          <w:tab w:val="left" w:pos="315"/>
        </w:tabs>
        <w:ind w:left="315" w:hanging="31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NjZlMGZkMGY2ZDhhNjhhYzM2ZWNkZGQ1NTkwMzkifQ=="/>
  </w:docVars>
  <w:rsids>
    <w:rsidRoot w:val="53944F5A"/>
    <w:rsid w:val="0052726E"/>
    <w:rsid w:val="00E76CC6"/>
    <w:rsid w:val="03576C1A"/>
    <w:rsid w:val="088C56C8"/>
    <w:rsid w:val="08AB6E43"/>
    <w:rsid w:val="09183888"/>
    <w:rsid w:val="091F0FEF"/>
    <w:rsid w:val="0F061EBE"/>
    <w:rsid w:val="10801226"/>
    <w:rsid w:val="111B10FE"/>
    <w:rsid w:val="11FD79F3"/>
    <w:rsid w:val="12FD73A6"/>
    <w:rsid w:val="14863391"/>
    <w:rsid w:val="16D40F0B"/>
    <w:rsid w:val="1B4C2436"/>
    <w:rsid w:val="1C4E7529"/>
    <w:rsid w:val="1DC06FC8"/>
    <w:rsid w:val="1EB647CE"/>
    <w:rsid w:val="20AA57CF"/>
    <w:rsid w:val="22A63D70"/>
    <w:rsid w:val="22F3650C"/>
    <w:rsid w:val="22F93949"/>
    <w:rsid w:val="23FD0CBE"/>
    <w:rsid w:val="253432D4"/>
    <w:rsid w:val="254B0098"/>
    <w:rsid w:val="25657549"/>
    <w:rsid w:val="259B1656"/>
    <w:rsid w:val="25E10E5B"/>
    <w:rsid w:val="27DF3A57"/>
    <w:rsid w:val="28476911"/>
    <w:rsid w:val="285B7229"/>
    <w:rsid w:val="29435CBF"/>
    <w:rsid w:val="295201CD"/>
    <w:rsid w:val="29D06CB4"/>
    <w:rsid w:val="2B4125A4"/>
    <w:rsid w:val="2BC5112A"/>
    <w:rsid w:val="2DA359FB"/>
    <w:rsid w:val="2EFD6181"/>
    <w:rsid w:val="2F852056"/>
    <w:rsid w:val="31D616CE"/>
    <w:rsid w:val="341A0E58"/>
    <w:rsid w:val="35BD5A9A"/>
    <w:rsid w:val="36555DD2"/>
    <w:rsid w:val="378E1D53"/>
    <w:rsid w:val="382A3E18"/>
    <w:rsid w:val="39CD01E2"/>
    <w:rsid w:val="3A455068"/>
    <w:rsid w:val="3C102C2A"/>
    <w:rsid w:val="3C916C50"/>
    <w:rsid w:val="3CB14EAA"/>
    <w:rsid w:val="3DE75AA6"/>
    <w:rsid w:val="43156B79"/>
    <w:rsid w:val="431A331F"/>
    <w:rsid w:val="46D24EE5"/>
    <w:rsid w:val="46FA3F26"/>
    <w:rsid w:val="4AB83EDC"/>
    <w:rsid w:val="4DC4528E"/>
    <w:rsid w:val="4EAD2033"/>
    <w:rsid w:val="4EC37B11"/>
    <w:rsid w:val="4EF10D13"/>
    <w:rsid w:val="4FCD667C"/>
    <w:rsid w:val="52B44B4B"/>
    <w:rsid w:val="52C04A22"/>
    <w:rsid w:val="52E73786"/>
    <w:rsid w:val="53944F5A"/>
    <w:rsid w:val="56594AC8"/>
    <w:rsid w:val="56DB436E"/>
    <w:rsid w:val="577E66ED"/>
    <w:rsid w:val="586C6306"/>
    <w:rsid w:val="5B1F649C"/>
    <w:rsid w:val="5B266C19"/>
    <w:rsid w:val="5BBC76B4"/>
    <w:rsid w:val="5BF67113"/>
    <w:rsid w:val="5C5D7389"/>
    <w:rsid w:val="5CD03307"/>
    <w:rsid w:val="5D5046D3"/>
    <w:rsid w:val="5D907B38"/>
    <w:rsid w:val="5E024698"/>
    <w:rsid w:val="5E405944"/>
    <w:rsid w:val="616F7CA4"/>
    <w:rsid w:val="629A6A14"/>
    <w:rsid w:val="647924D6"/>
    <w:rsid w:val="652A4208"/>
    <w:rsid w:val="65956E9C"/>
    <w:rsid w:val="66BE3D8D"/>
    <w:rsid w:val="68BA59E1"/>
    <w:rsid w:val="6BE72DB3"/>
    <w:rsid w:val="6D930700"/>
    <w:rsid w:val="6E3E67F4"/>
    <w:rsid w:val="6EB74897"/>
    <w:rsid w:val="73905147"/>
    <w:rsid w:val="742F2BB2"/>
    <w:rsid w:val="74770004"/>
    <w:rsid w:val="789165C7"/>
    <w:rsid w:val="79483E82"/>
    <w:rsid w:val="7AE53FCA"/>
    <w:rsid w:val="7BB451E2"/>
    <w:rsid w:val="7BBF7035"/>
    <w:rsid w:val="7CBC666C"/>
    <w:rsid w:val="7CC442D5"/>
    <w:rsid w:val="7D481959"/>
    <w:rsid w:val="7DE46BC8"/>
    <w:rsid w:val="7EF32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6"/>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7"/>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numPr>
        <w:ilvl w:val="0"/>
        <w:numId w:val="1"/>
      </w:numPr>
      <w:spacing w:line="360" w:lineRule="auto"/>
      <w:outlineLvl w:val="1"/>
    </w:pPr>
    <w:rPr>
      <w:b/>
      <w:sz w:val="24"/>
      <w:szCs w:val="20"/>
    </w:rPr>
  </w:style>
  <w:style w:type="paragraph" w:styleId="4">
    <w:name w:val="heading 3"/>
    <w:basedOn w:val="1"/>
    <w:next w:val="1"/>
    <w:autoRedefine/>
    <w:qFormat/>
    <w:uiPriority w:val="0"/>
    <w:pPr>
      <w:keepNext/>
      <w:keepLines/>
      <w:spacing w:before="260" w:beforeLines="0" w:after="260" w:afterLines="0" w:line="413" w:lineRule="auto"/>
      <w:outlineLvl w:val="2"/>
    </w:pPr>
    <w:rPr>
      <w:rFonts w:cs="Times New Roman"/>
      <w:b/>
      <w:bCs/>
      <w:sz w:val="32"/>
      <w:szCs w:val="32"/>
    </w:rPr>
  </w:style>
  <w:style w:type="character" w:default="1" w:styleId="14">
    <w:name w:val="Default Paragraph Font"/>
    <w:autoRedefine/>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5">
    <w:name w:val="caption"/>
    <w:basedOn w:val="1"/>
    <w:next w:val="1"/>
    <w:semiHidden/>
    <w:unhideWhenUsed/>
    <w:qFormat/>
    <w:uiPriority w:val="35"/>
    <w:rPr>
      <w:rFonts w:eastAsia="黑体" w:asciiTheme="majorHAnsi" w:hAnsiTheme="majorHAnsi" w:cstheme="majorBidi"/>
      <w:sz w:val="20"/>
      <w:szCs w:val="20"/>
    </w:rPr>
  </w:style>
  <w:style w:type="paragraph" w:styleId="6">
    <w:name w:val="annotation text"/>
    <w:basedOn w:val="1"/>
    <w:link w:val="18"/>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0"/>
      <w:lang w:val="en-US" w:eastAsia="zh-CN" w:bidi="ar"/>
    </w:rPr>
  </w:style>
  <w:style w:type="paragraph" w:styleId="7">
    <w:name w:val="Body Text"/>
    <w:basedOn w:val="1"/>
    <w:next w:val="8"/>
    <w:link w:val="20"/>
    <w:qFormat/>
    <w:uiPriority w:val="0"/>
    <w:pPr>
      <w:spacing w:after="120"/>
    </w:pPr>
  </w:style>
  <w:style w:type="paragraph" w:styleId="8">
    <w:name w:val="toc 2"/>
    <w:basedOn w:val="1"/>
    <w:next w:val="1"/>
    <w:semiHidden/>
    <w:qFormat/>
    <w:uiPriority w:val="0"/>
    <w:pPr>
      <w:ind w:left="210"/>
      <w:jc w:val="left"/>
    </w:pPr>
    <w:rPr>
      <w:rFonts w:ascii="Times New Roman" w:hAnsi="Times New Roman"/>
      <w:smallCaps/>
      <w:sz w:val="20"/>
    </w:rPr>
  </w:style>
  <w:style w:type="paragraph" w:styleId="9">
    <w:name w:val="footer"/>
    <w:basedOn w:val="1"/>
    <w:link w:val="19"/>
    <w:qFormat/>
    <w:uiPriority w:val="0"/>
    <w:pPr>
      <w:tabs>
        <w:tab w:val="center" w:pos="4153"/>
        <w:tab w:val="right" w:pos="8306"/>
      </w:tabs>
      <w:snapToGrid w:val="0"/>
      <w:jc w:val="left"/>
    </w:pPr>
    <w:rPr>
      <w:sz w:val="18"/>
    </w:rPr>
  </w:style>
  <w:style w:type="paragraph" w:styleId="10">
    <w:name w:val="header"/>
    <w:basedOn w:val="1"/>
    <w:link w:val="3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styleId="17">
    <w:name w:val="annotation reference"/>
    <w:basedOn w:val="14"/>
    <w:qFormat/>
    <w:uiPriority w:val="0"/>
    <w:rPr>
      <w:sz w:val="21"/>
      <w:szCs w:val="21"/>
    </w:rPr>
  </w:style>
  <w:style w:type="character" w:customStyle="1" w:styleId="18">
    <w:name w:val="批注文字 Char"/>
    <w:basedOn w:val="14"/>
    <w:link w:val="6"/>
    <w:qFormat/>
    <w:uiPriority w:val="0"/>
    <w:rPr>
      <w:kern w:val="2"/>
      <w:sz w:val="21"/>
    </w:rPr>
  </w:style>
  <w:style w:type="character" w:customStyle="1" w:styleId="19">
    <w:name w:val="页脚 Char"/>
    <w:basedOn w:val="14"/>
    <w:link w:val="9"/>
    <w:qFormat/>
    <w:uiPriority w:val="0"/>
    <w:rPr>
      <w:kern w:val="2"/>
      <w:sz w:val="18"/>
    </w:rPr>
  </w:style>
  <w:style w:type="character" w:customStyle="1" w:styleId="20">
    <w:name w:val="正文文本 Char"/>
    <w:basedOn w:val="14"/>
    <w:link w:val="7"/>
    <w:qFormat/>
    <w:uiPriority w:val="0"/>
    <w:rPr>
      <w:rFonts w:hint="eastAsia" w:ascii="金山简黑体" w:hAnsi="Courier New" w:eastAsia="金山简黑体" w:cs="金山简黑体"/>
      <w:b/>
      <w:spacing w:val="-8"/>
      <w:kern w:val="2"/>
      <w:sz w:val="44"/>
    </w:rPr>
  </w:style>
  <w:style w:type="paragraph" w:customStyle="1" w:styleId="21">
    <w:name w:val="正文_0"/>
    <w:next w:val="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文本_0"/>
    <w:basedOn w:val="21"/>
    <w:qFormat/>
    <w:uiPriority w:val="0"/>
    <w:pPr>
      <w:spacing w:after="120" w:afterLines="0"/>
    </w:pPr>
  </w:style>
  <w:style w:type="paragraph" w:customStyle="1" w:styleId="23">
    <w:name w:val="引言二级条标题"/>
    <w:basedOn w:val="24"/>
    <w:next w:val="25"/>
    <w:qFormat/>
    <w:uiPriority w:val="0"/>
    <w:pPr>
      <w:ind w:left="0" w:firstLine="0"/>
    </w:pPr>
    <w:rPr>
      <w:rFonts w:eastAsia="宋体"/>
    </w:rPr>
  </w:style>
  <w:style w:type="paragraph" w:customStyle="1" w:styleId="24">
    <w:name w:val="引言一级条标题"/>
    <w:basedOn w:val="1"/>
    <w:next w:val="25"/>
    <w:qFormat/>
    <w:uiPriority w:val="0"/>
    <w:pPr>
      <w:widowControl/>
      <w:spacing w:beforeAutospacing="1" w:afterAutospacing="1"/>
      <w:ind w:left="900" w:hanging="900"/>
    </w:pPr>
    <w:rPr>
      <w:rFonts w:eastAsia="黑体"/>
      <w:b/>
      <w:bCs/>
    </w:rPr>
  </w:style>
  <w:style w:type="paragraph" w:customStyle="1" w:styleId="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6">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character" w:customStyle="1" w:styleId="27">
    <w:name w:val="标题 1 Char"/>
    <w:basedOn w:val="14"/>
    <w:link w:val="2"/>
    <w:qFormat/>
    <w:uiPriority w:val="0"/>
    <w:rPr>
      <w:rFonts w:hint="default" w:ascii="Tahoma" w:hAnsi="Tahoma" w:eastAsia="微软雅黑" w:cs="Tahoma"/>
      <w:b/>
      <w:bCs/>
      <w:kern w:val="44"/>
      <w:sz w:val="44"/>
      <w:szCs w:val="44"/>
    </w:rPr>
  </w:style>
  <w:style w:type="paragraph" w:customStyle="1" w:styleId="28">
    <w:name w:val="题注4"/>
    <w:basedOn w:val="1"/>
    <w:next w:val="5"/>
    <w:qFormat/>
    <w:uiPriority w:val="0"/>
    <w:pPr>
      <w:ind w:left="-40" w:leftChars="-41" w:right="-107" w:rightChars="-51" w:hanging="46"/>
      <w:jc w:val="center"/>
    </w:pPr>
    <w:rPr>
      <w:rFonts w:ascii="Times New Roman" w:hAnsi="Times New Roman" w:eastAsia="宋体" w:cs="Times New Roman"/>
      <w:b/>
      <w:color w:val="000000"/>
      <w:sz w:val="18"/>
      <w:szCs w:val="21"/>
      <w:lang w:val="en-GB"/>
    </w:rPr>
  </w:style>
  <w:style w:type="paragraph" w:customStyle="1" w:styleId="29">
    <w:name w:val="首行缩进"/>
    <w:basedOn w:val="1"/>
    <w:qFormat/>
    <w:uiPriority w:val="0"/>
    <w:pPr>
      <w:ind w:firstLine="480" w:firstLineChars="200"/>
    </w:pPr>
    <w:rPr>
      <w:rFonts w:ascii="Times New Roman" w:hAnsi="Times New Roman" w:eastAsia="宋体" w:cs="Times New Roman"/>
      <w:sz w:val="24"/>
      <w:lang w:val="zh-CN"/>
    </w:rPr>
  </w:style>
  <w:style w:type="paragraph" w:customStyle="1" w:styleId="30">
    <w:name w:val="FWB_L4"/>
    <w:basedOn w:val="1"/>
    <w:qFormat/>
    <w:uiPriority w:val="0"/>
    <w:pPr>
      <w:keepNext w:val="0"/>
      <w:keepLines w:val="0"/>
      <w:widowControl/>
      <w:numPr>
        <w:ilvl w:val="3"/>
        <w:numId w:val="2"/>
      </w:numPr>
      <w:suppressLineNumbers w:val="0"/>
      <w:tabs>
        <w:tab w:val="left" w:pos="360"/>
        <w:tab w:val="clear" w:pos="1440"/>
      </w:tabs>
      <w:spacing w:before="0" w:beforeAutospacing="0" w:after="240" w:afterAutospacing="0"/>
      <w:ind w:left="1440" w:right="0" w:hanging="216"/>
      <w:jc w:val="both"/>
    </w:pPr>
    <w:rPr>
      <w:rFonts w:hint="default" w:ascii="Times New Roman" w:hAnsi="Times New Roman" w:eastAsia="宋体" w:cs="Times New Roman"/>
      <w:smallCaps/>
      <w:kern w:val="0"/>
      <w:sz w:val="24"/>
      <w:szCs w:val="20"/>
      <w:lang w:val="en-US" w:eastAsia="zh-CN" w:bidi="ar"/>
    </w:rPr>
  </w:style>
  <w:style w:type="character" w:customStyle="1" w:styleId="31">
    <w:name w:val="页眉 Char"/>
    <w:basedOn w:val="14"/>
    <w:link w:val="10"/>
    <w:qFormat/>
    <w:uiPriority w:val="0"/>
    <w:rPr>
      <w:rFonts w:hint="default" w:ascii="Times New Roman" w:hAnsi="Times New Roman"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13893</Words>
  <Characters>14779</Characters>
  <Lines>0</Lines>
  <Paragraphs>0</Paragraphs>
  <TotalTime>20</TotalTime>
  <ScaleCrop>false</ScaleCrop>
  <LinksUpToDate>false</LinksUpToDate>
  <CharactersWithSpaces>15292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2022-05-05T07:27:00Z</dcterms:created>
  <dc:creator>第二工程公司</dc:creator>
  <cp:lastModifiedBy>运营公司</cp:lastModifiedBy>
  <cp:lastPrinted>2024-12-19T00:50:00Z</cp:lastPrinted>
  <dcterms:modified xsi:type="dcterms:W3CDTF">2024-12-20T03:53:28Z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CD847C6559D3484DAF1D5E2C96BFAAC9_13</vt:lpwstr>
  </property>
</Properties>
</file>