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报价表</w:t>
      </w:r>
    </w:p>
    <w:p>
      <w:pPr>
        <w:spacing w:line="560" w:lineRule="exact"/>
        <w:jc w:val="left"/>
        <w:rPr>
          <w:rFonts w:ascii="宋体" w:hAnsi="宋体"/>
          <w:color w:val="auto"/>
          <w:sz w:val="44"/>
          <w:szCs w:val="44"/>
          <w:highlight w:val="none"/>
        </w:rPr>
      </w:pPr>
    </w:p>
    <w:p>
      <w:pPr>
        <w:pStyle w:val="2"/>
        <w:rPr>
          <w:rFonts w:ascii="宋体" w:hAnsi="宋体"/>
          <w:color w:val="auto"/>
          <w:sz w:val="44"/>
          <w:szCs w:val="44"/>
          <w:highlight w:val="none"/>
        </w:rPr>
      </w:pPr>
    </w:p>
    <w:p>
      <w:pPr>
        <w:pStyle w:val="2"/>
        <w:rPr>
          <w:rFonts w:ascii="宋体" w:hAnsi="宋体"/>
          <w:color w:val="auto"/>
          <w:sz w:val="44"/>
          <w:szCs w:val="44"/>
          <w:highlight w:val="none"/>
        </w:rPr>
      </w:pPr>
    </w:p>
    <w:p>
      <w:pPr>
        <w:spacing w:line="560" w:lineRule="exact"/>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lang w:val="en-US" w:eastAsia="zh-CN"/>
        </w:rPr>
        <w:t>投标</w:t>
      </w:r>
      <w:r>
        <w:rPr>
          <w:rFonts w:hint="eastAsia" w:ascii="仿宋_GB2312" w:hAnsi="仿宋" w:eastAsia="仿宋_GB2312"/>
          <w:color w:val="auto"/>
          <w:sz w:val="32"/>
          <w:szCs w:val="32"/>
          <w:highlight w:val="none"/>
        </w:rPr>
        <w:t>单位</w:t>
      </w:r>
      <w:r>
        <w:rPr>
          <w:rFonts w:hint="eastAsia" w:ascii="仿宋_GB2312" w:hAnsi="仿宋" w:eastAsia="仿宋_GB2312"/>
          <w:color w:val="auto"/>
          <w:sz w:val="32"/>
          <w:szCs w:val="32"/>
          <w:highlight w:val="none"/>
          <w:lang w:val="en-US" w:eastAsia="zh-CN"/>
        </w:rPr>
        <w:t>名称</w:t>
      </w:r>
      <w:r>
        <w:rPr>
          <w:rFonts w:hint="eastAsia" w:ascii="仿宋_GB2312" w:hAnsi="仿宋" w:eastAsia="仿宋_GB2312"/>
          <w:color w:val="auto"/>
          <w:sz w:val="32"/>
          <w:szCs w:val="32"/>
          <w:highlight w:val="none"/>
        </w:rPr>
        <w:t>（公章）：</w:t>
      </w:r>
      <w:r>
        <w:rPr>
          <w:rFonts w:hint="eastAsia" w:ascii="仿宋_GB2312" w:hAnsi="仿宋" w:eastAsia="仿宋_GB2312"/>
          <w:color w:val="auto"/>
          <w:sz w:val="32"/>
          <w:szCs w:val="32"/>
          <w:highlight w:val="none"/>
          <w:u w:val="single"/>
        </w:rPr>
        <w:t xml:space="preserve">                                </w:t>
      </w:r>
    </w:p>
    <w:p>
      <w:pPr>
        <w:spacing w:line="560" w:lineRule="exact"/>
        <w:jc w:val="left"/>
        <w:rPr>
          <w:rFonts w:ascii="仿宋_GB2312" w:hAnsi="仿宋" w:eastAsia="仿宋_GB2312"/>
          <w:color w:val="auto"/>
          <w:sz w:val="32"/>
          <w:szCs w:val="32"/>
          <w:highlight w:val="none"/>
        </w:rPr>
      </w:pPr>
    </w:p>
    <w:p>
      <w:pPr>
        <w:spacing w:line="600" w:lineRule="exact"/>
        <w:ind w:left="1600" w:hanging="1600" w:hangingChars="500"/>
        <w:jc w:val="left"/>
        <w:rPr>
          <w:rFonts w:hint="eastAsia" w:ascii="仿宋_GB2312" w:hAnsi="仿宋" w:eastAsia="仿宋_GB2312"/>
          <w:color w:val="auto"/>
          <w:sz w:val="32"/>
          <w:szCs w:val="32"/>
          <w:highlight w:val="none"/>
          <w:u w:val="single"/>
          <w:lang w:val="en-US" w:eastAsia="zh-CN"/>
        </w:rPr>
      </w:pPr>
      <w:r>
        <w:rPr>
          <w:rFonts w:hint="eastAsia" w:ascii="仿宋_GB2312" w:hAnsi="仿宋" w:eastAsia="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lang w:val="en-US" w:eastAsia="zh-CN"/>
        </w:rPr>
        <w:t>河池市宜州区北山镇规模化供水工程项目管网配套设施工程招标控制价审核服务</w:t>
      </w:r>
    </w:p>
    <w:p>
      <w:pPr>
        <w:spacing w:line="600" w:lineRule="exact"/>
        <w:ind w:left="1280" w:hanging="1280" w:hangingChars="400"/>
        <w:jc w:val="left"/>
        <w:rPr>
          <w:rFonts w:hint="eastAsia" w:ascii="仿宋_GB2312" w:hAnsi="仿宋_GB2312" w:eastAsia="仿宋_GB2312" w:cs="仿宋_GB2312"/>
          <w:color w:val="auto"/>
          <w:sz w:val="32"/>
          <w:szCs w:val="32"/>
          <w:highlight w:val="none"/>
          <w:lang w:val="en-US" w:eastAsia="zh-CN"/>
        </w:rPr>
      </w:pPr>
    </w:p>
    <w:p>
      <w:pPr>
        <w:spacing w:line="560" w:lineRule="exact"/>
        <w:jc w:val="left"/>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项目编号：</w:t>
      </w:r>
      <w:r>
        <w:rPr>
          <w:rFonts w:hint="eastAsia" w:ascii="仿宋_GB2312" w:hAnsi="仿宋_GB2312" w:eastAsia="仿宋_GB2312" w:cs="仿宋_GB2312"/>
          <w:i w:val="0"/>
          <w:iCs w:val="0"/>
          <w:caps w:val="0"/>
          <w:color w:val="auto"/>
          <w:spacing w:val="0"/>
          <w:sz w:val="32"/>
          <w:szCs w:val="32"/>
          <w:highlight w:val="none"/>
          <w:u w:val="single"/>
          <w:shd w:val="clear" w:fill="FFFFFF"/>
        </w:rPr>
        <w:t>HCCT2024001</w:t>
      </w:r>
      <w:r>
        <w:rPr>
          <w:rFonts w:hint="eastAsia" w:ascii="仿宋_GB2312" w:hAnsi="仿宋_GB2312" w:eastAsia="仿宋_GB2312" w:cs="仿宋_GB2312"/>
          <w:i w:val="0"/>
          <w:iCs w:val="0"/>
          <w:caps w:val="0"/>
          <w:color w:val="auto"/>
          <w:spacing w:val="0"/>
          <w:sz w:val="32"/>
          <w:szCs w:val="32"/>
          <w:highlight w:val="none"/>
          <w:u w:val="single"/>
          <w:shd w:val="clear" w:fill="FFFFFF"/>
          <w:lang w:val="en-US" w:eastAsia="zh-CN"/>
        </w:rPr>
        <w:t xml:space="preserve">8号 </w:t>
      </w:r>
    </w:p>
    <w:p>
      <w:pPr>
        <w:spacing w:line="560" w:lineRule="exact"/>
        <w:jc w:val="left"/>
        <w:rPr>
          <w:rFonts w:ascii="仿宋_GB2312" w:hAnsi="仿宋" w:eastAsia="仿宋_GB2312"/>
          <w:color w:val="auto"/>
          <w:sz w:val="32"/>
          <w:szCs w:val="32"/>
          <w:highlight w:val="none"/>
        </w:rPr>
      </w:pPr>
    </w:p>
    <w:p>
      <w:pPr>
        <w:spacing w:line="560" w:lineRule="exact"/>
        <w:jc w:val="left"/>
        <w:rPr>
          <w:rFonts w:ascii="仿宋_GB2312" w:hAnsi="仿宋" w:eastAsia="仿宋_GB2312"/>
          <w:color w:val="auto"/>
          <w:sz w:val="32"/>
          <w:szCs w:val="32"/>
          <w:highlight w:val="none"/>
        </w:rPr>
      </w:pPr>
    </w:p>
    <w:p>
      <w:pPr>
        <w:ind w:firstLine="640" w:firstLineChars="200"/>
        <w:jc w:val="left"/>
        <w:rPr>
          <w:rFonts w:hint="eastAsia"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lang w:val="en-US" w:eastAsia="zh-CN"/>
        </w:rPr>
        <w:t>报价金额：（</w:t>
      </w:r>
      <w:r>
        <w:rPr>
          <w:rFonts w:hint="eastAsia" w:ascii="仿宋_GB2312" w:hAnsi="仿宋" w:eastAsia="仿宋_GB2312"/>
          <w:color w:val="auto"/>
          <w:sz w:val="32"/>
          <w:szCs w:val="32"/>
          <w:highlight w:val="none"/>
          <w:lang w:eastAsia="zh-CN"/>
        </w:rPr>
        <w:t>大写）</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u w:val="single"/>
        </w:rPr>
        <w:t xml:space="preserve">       </w:t>
      </w:r>
    </w:p>
    <w:p>
      <w:pPr>
        <w:pStyle w:val="2"/>
        <w:rPr>
          <w:rFonts w:hint="default" w:eastAsia="仿宋_GB2312"/>
          <w:color w:val="auto"/>
          <w:lang w:val="en-US" w:eastAsia="zh-CN"/>
        </w:rPr>
      </w:pPr>
      <w:r>
        <w:rPr>
          <w:rFonts w:hint="eastAsia" w:ascii="仿宋_GB2312" w:hAnsi="仿宋" w:eastAsia="仿宋_GB2312"/>
          <w:color w:val="auto"/>
          <w:sz w:val="32"/>
          <w:szCs w:val="32"/>
          <w:highlight w:val="none"/>
          <w:u w:val="none"/>
          <w:lang w:val="en-US" w:eastAsia="zh-CN"/>
        </w:rPr>
        <w:t xml:space="preserve">             </w:t>
      </w:r>
      <w:r>
        <w:rPr>
          <w:rFonts w:hint="eastAsia" w:ascii="仿宋_GB2312" w:hAnsi="仿宋" w:eastAsia="仿宋_GB2312" w:cstheme="minorBidi"/>
          <w:color w:val="auto"/>
          <w:kern w:val="2"/>
          <w:sz w:val="32"/>
          <w:szCs w:val="32"/>
          <w:highlight w:val="none"/>
          <w:lang w:val="en-US" w:eastAsia="zh-CN" w:bidi="ar-SA"/>
        </w:rPr>
        <w:t>（小写）</w:t>
      </w:r>
      <w:r>
        <w:rPr>
          <w:rFonts w:hint="eastAsia" w:ascii="仿宋_GB2312" w:hAnsi="仿宋" w:eastAsia="仿宋_GB2312"/>
          <w:color w:val="auto"/>
          <w:sz w:val="32"/>
          <w:szCs w:val="32"/>
          <w:highlight w:val="none"/>
          <w:u w:val="single"/>
          <w:lang w:val="en-US" w:eastAsia="zh-CN"/>
        </w:rPr>
        <w:t xml:space="preserve">                           </w:t>
      </w:r>
    </w:p>
    <w:p>
      <w:pPr>
        <w:jc w:val="left"/>
        <w:rPr>
          <w:rFonts w:hint="eastAsia" w:ascii="仿宋_GB2312" w:hAnsi="仿宋" w:eastAsia="仿宋_GB2312"/>
          <w:color w:val="auto"/>
          <w:sz w:val="32"/>
          <w:szCs w:val="32"/>
          <w:highlight w:val="none"/>
          <w:u w:val="single"/>
        </w:rPr>
      </w:pPr>
    </w:p>
    <w:p>
      <w:pPr>
        <w:spacing w:line="560" w:lineRule="exact"/>
        <w:jc w:val="left"/>
        <w:rPr>
          <w:rFonts w:eastAsia="仿宋_GB2312" w:cs="Calibri"/>
          <w:color w:val="auto"/>
          <w:sz w:val="32"/>
          <w:szCs w:val="32"/>
          <w:highlight w:val="none"/>
        </w:rPr>
      </w:pPr>
    </w:p>
    <w:p>
      <w:pPr>
        <w:spacing w:line="560" w:lineRule="exact"/>
        <w:ind w:firstLine="4320" w:firstLineChars="1350"/>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日期：</w:t>
      </w:r>
      <w:r>
        <w:rPr>
          <w:rFonts w:hint="eastAsia" w:ascii="仿宋_GB2312" w:hAnsi="仿宋" w:eastAsia="仿宋_GB2312"/>
          <w:color w:val="auto"/>
          <w:sz w:val="32"/>
          <w:szCs w:val="32"/>
          <w:highlight w:val="none"/>
          <w:u w:val="single"/>
        </w:rPr>
        <w:t xml:space="preserve">                  </w:t>
      </w:r>
    </w:p>
    <w:p>
      <w:pPr>
        <w:spacing w:line="560" w:lineRule="exact"/>
        <w:rPr>
          <w:rFonts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注：0&lt;下浮系数&lt;1为有效报价</w:t>
      </w:r>
    </w:p>
    <w:p>
      <w:pPr>
        <w:pStyle w:val="3"/>
        <w:numPr>
          <w:ilvl w:val="0"/>
          <w:numId w:val="0"/>
        </w:numPr>
        <w:ind w:leftChars="0"/>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sectPr>
          <w:footerReference r:id="rId3" w:type="default"/>
          <w:pgSz w:w="11906" w:h="16840"/>
          <w:pgMar w:top="1460" w:right="1440" w:bottom="280" w:left="1420" w:header="720" w:footer="720" w:gutter="0"/>
          <w:pgNumType w:fmt="decimal" w:start="1"/>
          <w:cols w:space="720" w:num="1"/>
        </w:sectPr>
      </w:pPr>
    </w:p>
    <w:p>
      <w:pPr>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  合同条款及格式</w:t>
      </w:r>
    </w:p>
    <w:p>
      <w:pPr>
        <w:pStyle w:val="2"/>
        <w:rPr>
          <w:rFonts w:hint="eastAsia" w:ascii="仿宋_GB2312" w:hAnsi="仿宋_GB2312" w:eastAsia="仿宋_GB2312" w:cs="仿宋_GB2312"/>
          <w:color w:val="auto"/>
          <w:sz w:val="28"/>
          <w:szCs w:val="28"/>
          <w:highlight w:val="none"/>
          <w:lang w:val="en-US" w:eastAsia="zh-CN"/>
        </w:rPr>
      </w:pPr>
    </w:p>
    <w:p>
      <w:pPr>
        <w:pStyle w:val="2"/>
        <w:rPr>
          <w:rFonts w:hint="eastAsia" w:ascii="仿宋_GB2312" w:hAnsi="仿宋_GB2312" w:eastAsia="仿宋_GB2312" w:cs="仿宋_GB2312"/>
          <w:color w:val="auto"/>
          <w:sz w:val="28"/>
          <w:szCs w:val="28"/>
          <w:highlight w:val="none"/>
          <w:lang w:val="en-US" w:eastAsia="zh-CN"/>
        </w:rPr>
      </w:pPr>
    </w:p>
    <w:p>
      <w:pPr>
        <w:pStyle w:val="2"/>
        <w:rPr>
          <w:rFonts w:hint="eastAsia" w:ascii="仿宋_GB2312" w:hAnsi="仿宋_GB2312" w:eastAsia="仿宋_GB2312" w:cs="仿宋_GB2312"/>
          <w:color w:val="auto"/>
          <w:sz w:val="28"/>
          <w:szCs w:val="28"/>
          <w:highlight w:val="none"/>
          <w:lang w:val="en-US" w:eastAsia="zh-CN"/>
        </w:rPr>
      </w:pPr>
    </w:p>
    <w:p>
      <w:pPr>
        <w:keepNext w:val="0"/>
        <w:keepLines w:val="0"/>
        <w:widowControl w:val="0"/>
        <w:suppressLineNumbers w:val="0"/>
        <w:spacing w:before="0" w:beforeAutospacing="0" w:after="0" w:afterAutospacing="0"/>
        <w:ind w:left="0" w:right="0" w:firstLine="5140" w:firstLineChars="1600"/>
        <w:jc w:val="both"/>
        <w:rPr>
          <w:rFonts w:hint="eastAsia" w:ascii="宋体" w:hAnsi="宋体" w:eastAsia="宋体" w:cs="宋体"/>
          <w:b/>
          <w:bCs/>
          <w:color w:val="auto"/>
          <w:sz w:val="32"/>
          <w:szCs w:val="24"/>
          <w:highlight w:val="none"/>
          <w:lang w:val="en-US"/>
        </w:rPr>
      </w:pPr>
      <w:r>
        <w:rPr>
          <w:rFonts w:hint="eastAsia" w:ascii="宋体" w:hAnsi="宋体" w:eastAsia="宋体" w:cs="宋体"/>
          <w:b/>
          <w:bCs/>
          <w:color w:val="auto"/>
          <w:kern w:val="2"/>
          <w:sz w:val="32"/>
          <w:szCs w:val="24"/>
          <w:highlight w:val="none"/>
          <w:lang w:val="en-US" w:eastAsia="zh-CN" w:bidi="ar"/>
        </w:rPr>
        <w:t>合同编号：</w:t>
      </w:r>
    </w:p>
    <w:p>
      <w:pPr>
        <w:jc w:val="center"/>
        <w:rPr>
          <w:rFonts w:ascii="华文中宋" w:hAnsi="华文中宋" w:eastAsia="华文中宋" w:cs="华文中宋"/>
          <w:b/>
          <w:bCs/>
          <w:color w:val="auto"/>
          <w:sz w:val="52"/>
          <w:szCs w:val="52"/>
          <w:highlight w:val="none"/>
        </w:rPr>
      </w:pPr>
      <w:r>
        <w:rPr>
          <w:rFonts w:hint="eastAsia" w:ascii="宋体" w:hAnsi="宋体" w:cs="宋体"/>
          <w:b/>
          <w:color w:val="auto"/>
          <w:sz w:val="52"/>
          <w:szCs w:val="52"/>
          <w:highlight w:val="none"/>
          <w:lang w:val="en-US" w:eastAsia="zh-CN"/>
        </w:rPr>
        <w:t>河池市宜州区北山镇规模化供水工程项目管网配套设施工程</w:t>
      </w:r>
      <w:r>
        <w:rPr>
          <w:rFonts w:hint="eastAsia" w:ascii="Times New Roman" w:hAnsi="Times New Roman" w:eastAsia="华文中宋"/>
          <w:b/>
          <w:color w:val="auto"/>
          <w:sz w:val="52"/>
          <w:szCs w:val="52"/>
          <w:highlight w:val="none"/>
        </w:rPr>
        <w:t>造价咨询合同</w:t>
      </w:r>
      <w:r>
        <w:rPr>
          <w:rFonts w:hint="eastAsia" w:ascii="华文中宋" w:hAnsi="华文中宋" w:eastAsia="华文中宋" w:cs="华文中宋"/>
          <w:b/>
          <w:bCs/>
          <w:color w:val="auto"/>
          <w:sz w:val="52"/>
          <w:szCs w:val="52"/>
          <w:highlight w:val="none"/>
        </w:rPr>
        <w:t>（招标控制价审核）</w:t>
      </w:r>
    </w:p>
    <w:p>
      <w:pPr>
        <w:tabs>
          <w:tab w:val="left" w:pos="2220"/>
          <w:tab w:val="center" w:pos="4462"/>
        </w:tabs>
        <w:ind w:firstLine="525"/>
        <w:jc w:val="left"/>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spacing w:line="360" w:lineRule="auto"/>
        <w:ind w:firstLine="2249" w:firstLineChars="700"/>
        <w:rPr>
          <w:rFonts w:hAnsi="宋体" w:eastAsia="新宋体"/>
          <w:b/>
          <w:bCs/>
          <w:color w:val="auto"/>
          <w:sz w:val="32"/>
          <w:szCs w:val="32"/>
          <w:highlight w:val="none"/>
        </w:rPr>
      </w:pPr>
      <w:r>
        <w:rPr>
          <w:rFonts w:hint="eastAsia" w:hAnsi="宋体"/>
          <w:b/>
          <w:bCs/>
          <w:color w:val="auto"/>
          <w:sz w:val="32"/>
          <w:szCs w:val="32"/>
          <w:highlight w:val="none"/>
        </w:rPr>
        <w:t>委托</w:t>
      </w:r>
      <w:r>
        <w:rPr>
          <w:rFonts w:hint="eastAsia" w:hAnsi="宋体"/>
          <w:b/>
          <w:bCs/>
          <w:color w:val="auto"/>
          <w:sz w:val="32"/>
          <w:szCs w:val="32"/>
          <w:highlight w:val="none"/>
          <w:lang w:val="en-US" w:eastAsia="zh-CN"/>
        </w:rPr>
        <w:t>方</w:t>
      </w:r>
      <w:r>
        <w:rPr>
          <w:rFonts w:hint="eastAsia" w:hAnsi="宋体"/>
          <w:b/>
          <w:bCs/>
          <w:color w:val="auto"/>
          <w:sz w:val="32"/>
          <w:szCs w:val="32"/>
          <w:highlight w:val="none"/>
        </w:rPr>
        <w:t>：</w:t>
      </w:r>
      <w:r>
        <w:rPr>
          <w:rFonts w:hint="eastAsia" w:ascii="新宋体" w:hAnsi="新宋体" w:eastAsia="新宋体" w:cs="新宋体"/>
          <w:color w:val="auto"/>
          <w:sz w:val="32"/>
          <w:szCs w:val="32"/>
          <w:highlight w:val="none"/>
          <w:u w:val="single"/>
        </w:rPr>
        <w:t>河池市</w:t>
      </w:r>
      <w:r>
        <w:rPr>
          <w:rFonts w:hint="eastAsia" w:ascii="新宋体" w:hAnsi="新宋体" w:eastAsia="新宋体" w:cs="新宋体"/>
          <w:color w:val="auto"/>
          <w:sz w:val="32"/>
          <w:szCs w:val="32"/>
          <w:highlight w:val="none"/>
          <w:u w:val="single"/>
          <w:lang w:val="en-US" w:eastAsia="zh-CN"/>
        </w:rPr>
        <w:t>金峰</w:t>
      </w:r>
      <w:r>
        <w:rPr>
          <w:rFonts w:hint="eastAsia" w:ascii="新宋体" w:hAnsi="新宋体" w:eastAsia="新宋体" w:cs="新宋体"/>
          <w:color w:val="auto"/>
          <w:sz w:val="32"/>
          <w:szCs w:val="32"/>
          <w:highlight w:val="none"/>
          <w:u w:val="single"/>
        </w:rPr>
        <w:t>投资</w:t>
      </w:r>
      <w:r>
        <w:rPr>
          <w:rFonts w:hint="eastAsia" w:ascii="新宋体" w:hAnsi="新宋体" w:eastAsia="新宋体" w:cs="新宋体"/>
          <w:color w:val="auto"/>
          <w:sz w:val="32"/>
          <w:szCs w:val="32"/>
          <w:highlight w:val="none"/>
          <w:u w:val="single"/>
          <w:lang w:val="en-US" w:eastAsia="zh-CN"/>
        </w:rPr>
        <w:t>开发</w:t>
      </w:r>
      <w:r>
        <w:rPr>
          <w:rFonts w:hint="eastAsia" w:ascii="新宋体" w:hAnsi="新宋体" w:eastAsia="新宋体" w:cs="新宋体"/>
          <w:color w:val="auto"/>
          <w:sz w:val="32"/>
          <w:szCs w:val="32"/>
          <w:highlight w:val="none"/>
          <w:u w:val="single"/>
        </w:rPr>
        <w:t>有限公司</w:t>
      </w:r>
    </w:p>
    <w:p>
      <w:pPr>
        <w:spacing w:line="360" w:lineRule="auto"/>
        <w:ind w:firstLine="2249" w:firstLineChars="700"/>
        <w:rPr>
          <w:rFonts w:hAnsi="宋体"/>
          <w:b/>
          <w:bCs/>
          <w:color w:val="auto"/>
          <w:sz w:val="32"/>
          <w:szCs w:val="32"/>
          <w:highlight w:val="none"/>
          <w:u w:val="single"/>
        </w:rPr>
      </w:pPr>
      <w:r>
        <w:rPr>
          <w:rFonts w:hint="eastAsia" w:hAnsi="宋体"/>
          <w:b/>
          <w:bCs/>
          <w:color w:val="auto"/>
          <w:sz w:val="32"/>
          <w:szCs w:val="32"/>
          <w:highlight w:val="none"/>
        </w:rPr>
        <w:t>咨询人：</w:t>
      </w:r>
      <w:r>
        <w:rPr>
          <w:rFonts w:hint="eastAsia" w:ascii="仿宋" w:hAnsi="仿宋" w:eastAsia="仿宋" w:cs="仿宋"/>
          <w:b w:val="0"/>
          <w:bCs w:val="0"/>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rPr>
        <w:t xml:space="preserve">   </w:t>
      </w:r>
      <w:r>
        <w:rPr>
          <w:rFonts w:hint="eastAsia" w:ascii="新宋体" w:hAnsi="新宋体" w:eastAsia="新宋体" w:cs="新宋体"/>
          <w:color w:val="auto"/>
          <w:sz w:val="32"/>
          <w:szCs w:val="32"/>
          <w:highlight w:val="none"/>
          <w:u w:val="none"/>
        </w:rPr>
        <w:t xml:space="preserve"> </w:t>
      </w:r>
      <w:r>
        <w:rPr>
          <w:rFonts w:hint="eastAsia" w:ascii="新宋体" w:hAnsi="新宋体" w:eastAsia="新宋体" w:cs="新宋体"/>
          <w:color w:val="auto"/>
          <w:sz w:val="32"/>
          <w:szCs w:val="32"/>
          <w:highlight w:val="none"/>
          <w:u w:val="none"/>
          <w:lang w:val="en-US" w:eastAsia="zh-CN"/>
        </w:rPr>
        <w:t xml:space="preserve">        </w:t>
      </w:r>
      <w:r>
        <w:rPr>
          <w:rFonts w:hint="eastAsia" w:ascii="新宋体" w:hAnsi="新宋体" w:eastAsia="新宋体" w:cs="新宋体"/>
          <w:color w:val="auto"/>
          <w:sz w:val="32"/>
          <w:szCs w:val="32"/>
          <w:highlight w:val="none"/>
          <w:u w:val="single"/>
          <w:lang w:val="en-US" w:eastAsia="zh-CN"/>
        </w:rPr>
        <w:t xml:space="preserve"> </w:t>
      </w:r>
      <w:r>
        <w:rPr>
          <w:rFonts w:hint="eastAsia" w:ascii="新宋体" w:hAnsi="新宋体" w:eastAsia="新宋体" w:cs="新宋体"/>
          <w:color w:val="auto"/>
          <w:sz w:val="32"/>
          <w:szCs w:val="32"/>
          <w:highlight w:val="none"/>
          <w:u w:val="single"/>
        </w:rPr>
        <w:t xml:space="preserve"> </w:t>
      </w:r>
    </w:p>
    <w:p>
      <w:pPr>
        <w:jc w:val="left"/>
        <w:rPr>
          <w:rFonts w:ascii="黑体" w:hAnsi="黑体" w:eastAsia="黑体" w:cs="黑体"/>
          <w:b/>
          <w:color w:val="auto"/>
          <w:sz w:val="32"/>
          <w:szCs w:val="32"/>
          <w:highlight w:val="none"/>
        </w:rPr>
      </w:pPr>
    </w:p>
    <w:p>
      <w:pPr>
        <w:ind w:firstLine="4356" w:firstLineChars="1356"/>
        <w:jc w:val="left"/>
        <w:rPr>
          <w:rFonts w:ascii="黑体" w:hAnsi="黑体" w:eastAsia="黑体" w:cs="黑体"/>
          <w:b/>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080" w:bottom="1440" w:left="1080" w:header="964" w:footer="964" w:gutter="0"/>
          <w:pgNumType w:start="1"/>
          <w:cols w:space="720" w:num="1"/>
          <w:titlePg/>
          <w:docGrid w:type="lines" w:linePitch="312" w:charSpace="0"/>
        </w:sectPr>
      </w:pPr>
    </w:p>
    <w:p>
      <w:pPr>
        <w:jc w:val="center"/>
        <w:rPr>
          <w:rFonts w:ascii="宋体" w:hAnsi="宋体" w:eastAsia="方正小标宋简体"/>
          <w:b/>
          <w:color w:val="auto"/>
          <w:sz w:val="28"/>
          <w:szCs w:val="28"/>
          <w:highlight w:val="none"/>
        </w:rPr>
      </w:pPr>
      <w:r>
        <w:rPr>
          <w:rFonts w:hint="eastAsia" w:ascii="方正小标宋简体" w:hAnsi="方正小标宋简体" w:eastAsia="方正小标宋简体" w:cs="方正小标宋简体"/>
          <w:color w:val="auto"/>
          <w:sz w:val="32"/>
          <w:szCs w:val="32"/>
          <w:highlight w:val="none"/>
          <w:u w:val="single"/>
          <w:lang w:val="en-US" w:eastAsia="zh-CN"/>
        </w:rPr>
        <w:t>河池市宜州区北山镇规模化供水工程项目管网配套设施工程</w:t>
      </w:r>
      <w:r>
        <w:rPr>
          <w:rFonts w:hint="eastAsia" w:ascii="方正小标宋简体" w:hAnsi="方正小标宋简体" w:eastAsia="方正小标宋简体" w:cs="方正小标宋简体"/>
          <w:color w:val="auto"/>
          <w:sz w:val="32"/>
          <w:szCs w:val="32"/>
          <w:highlight w:val="none"/>
          <w:u w:val="single"/>
        </w:rPr>
        <w:t>造价咨询合同  （工程量清单及招标控制价审核）</w:t>
      </w:r>
    </w:p>
    <w:p>
      <w:pPr>
        <w:keepNext w:val="0"/>
        <w:keepLines w:val="0"/>
        <w:pageBreakBefore w:val="0"/>
        <w:widowControl/>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（全称）：</w:t>
      </w:r>
      <w:r>
        <w:rPr>
          <w:rFonts w:hint="eastAsia" w:ascii="仿宋_GB2312" w:hAnsi="仿宋_GB2312" w:eastAsia="仿宋_GB2312" w:cs="仿宋_GB2312"/>
          <w:color w:val="auto"/>
          <w:sz w:val="30"/>
          <w:szCs w:val="30"/>
          <w:highlight w:val="none"/>
          <w:u w:val="single"/>
          <w:lang w:val="en-US" w:eastAsia="zh-CN"/>
        </w:rPr>
        <w:t>河池市金峰投资开发有限公司</w:t>
      </w:r>
      <w:r>
        <w:rPr>
          <w:rFonts w:hint="eastAsia" w:ascii="仿宋_GB2312" w:hAnsi="仿宋_GB2312" w:eastAsia="仿宋_GB2312" w:cs="仿宋_GB2312"/>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咨询人（全称）：</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根据《中华人民共和国民法典》及其他有关法律、法规，遵循平等、自愿、公平和诚实信用的原则，双方就下述建设工程委托造价咨询与其他服务事项协商一致，订立本合同。</w:t>
      </w:r>
    </w:p>
    <w:p>
      <w:pPr>
        <w:keepNext w:val="0"/>
        <w:keepLines w:val="0"/>
        <w:pageBreakBefore w:val="0"/>
        <w:widowControl/>
        <w:kinsoku/>
        <w:wordWrap/>
        <w:overflowPunct/>
        <w:topLinePunct w:val="0"/>
        <w:autoSpaceDE/>
        <w:autoSpaceDN/>
        <w:bidi w:val="0"/>
        <w:adjustRightInd/>
        <w:spacing w:line="520" w:lineRule="exact"/>
        <w:ind w:firstLine="602" w:firstLineChars="200"/>
        <w:jc w:val="left"/>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一</w:t>
      </w:r>
      <w:r>
        <w:rPr>
          <w:rFonts w:hint="eastAsia" w:ascii="仿宋_GB2312" w:hAnsi="仿宋_GB2312" w:eastAsia="仿宋_GB2312" w:cs="仿宋_GB2312"/>
          <w:color w:val="auto"/>
          <w:sz w:val="30"/>
          <w:szCs w:val="30"/>
          <w:highlight w:val="none"/>
        </w:rPr>
        <w:t>、工程概况</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河池</w:t>
      </w:r>
      <w:r>
        <w:rPr>
          <w:rFonts w:hint="eastAsia" w:ascii="仿宋_GB2312" w:hAnsi="仿宋_GB2312" w:eastAsia="仿宋_GB2312" w:cs="仿宋_GB2312"/>
          <w:color w:val="auto"/>
          <w:sz w:val="30"/>
          <w:szCs w:val="30"/>
          <w:highlight w:val="none"/>
          <w:lang w:eastAsia="zh-CN"/>
        </w:rPr>
        <w:t>市宜州区北山镇规模化供水工程项目管网配套设施工程主要对北山社区、梅洞屯、三里屯、滨州屯、楞池屯等周边村屯进行供水管网设施建设，施工内容含管道土石方开挖工程、管道安装工程、末端计量装置安装、路面拆除及恢复工程</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kinsoku/>
        <w:wordWrap/>
        <w:overflowPunct/>
        <w:topLinePunct w:val="0"/>
        <w:autoSpaceDE/>
        <w:autoSpaceDN/>
        <w:bidi w:val="0"/>
        <w:adjustRightIn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二、服务范围及工作内容</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双方约定的服务范围及工作内容：</w:t>
      </w:r>
      <w:r>
        <w:rPr>
          <w:rFonts w:hint="eastAsia" w:ascii="仿宋_GB2312" w:hAnsi="仿宋_GB2312" w:eastAsia="仿宋_GB2312" w:cs="仿宋_GB2312"/>
          <w:color w:val="auto"/>
          <w:sz w:val="30"/>
          <w:szCs w:val="30"/>
          <w:highlight w:val="none"/>
          <w:lang w:val="en-US" w:eastAsia="zh-CN"/>
        </w:rPr>
        <w:t>河池</w:t>
      </w:r>
      <w:r>
        <w:rPr>
          <w:rFonts w:hint="eastAsia" w:ascii="仿宋_GB2312" w:hAnsi="仿宋_GB2312" w:eastAsia="仿宋_GB2312" w:cs="仿宋_GB2312"/>
          <w:color w:val="auto"/>
          <w:sz w:val="30"/>
          <w:szCs w:val="30"/>
          <w:highlight w:val="none"/>
          <w:lang w:eastAsia="zh-CN"/>
        </w:rPr>
        <w:t>市宜州区北山镇规模化供水工程项目管网配套设施工程</w:t>
      </w:r>
      <w:r>
        <w:rPr>
          <w:rFonts w:hint="eastAsia" w:ascii="仿宋_GB2312" w:hAnsi="仿宋_GB2312" w:eastAsia="仿宋_GB2312" w:cs="仿宋_GB2312"/>
          <w:color w:val="auto"/>
          <w:sz w:val="30"/>
          <w:szCs w:val="30"/>
          <w:highlight w:val="none"/>
        </w:rPr>
        <w:t xml:space="preserve">工程量清单及招标控制价审核。 </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服务期限：合同签订至招标控制价审核完成。</w:t>
      </w:r>
    </w:p>
    <w:p>
      <w:pPr>
        <w:keepNext w:val="0"/>
        <w:keepLines w:val="0"/>
        <w:pageBreakBefore w:val="0"/>
        <w:widowControl/>
        <w:kinsoku/>
        <w:wordWrap/>
        <w:overflowPunct/>
        <w:topLinePunct w:val="0"/>
        <w:autoSpaceDE/>
        <w:autoSpaceDN/>
        <w:bidi w:val="0"/>
        <w:adjustRightInd/>
        <w:spacing w:line="520" w:lineRule="exact"/>
        <w:ind w:left="298" w:leftChars="142" w:firstLine="612" w:firstLineChars="204"/>
        <w:jc w:val="left"/>
        <w:textAlignment w:val="auto"/>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color w:val="auto"/>
          <w:sz w:val="30"/>
          <w:szCs w:val="30"/>
          <w:highlight w:val="none"/>
        </w:rPr>
        <w:t>1、成果文件完成时间：咨询人必须在委托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提供图纸等资料的</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3</w:t>
      </w:r>
      <w:r>
        <w:rPr>
          <w:rFonts w:hint="eastAsia" w:ascii="仿宋_GB2312" w:hAnsi="仿宋_GB2312" w:eastAsia="仿宋_GB2312" w:cs="仿宋_GB2312"/>
          <w:color w:val="auto"/>
          <w:sz w:val="30"/>
          <w:szCs w:val="30"/>
          <w:highlight w:val="none"/>
        </w:rPr>
        <w:t>日完成工程量清单及招标控制价的审核工作。</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（1）咨询人在对数过程中，因争议问题不能形成审核结论的，应做好书面记录报委托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，经批准后可延长审核时间。由于项目点分散、工程项目复杂等特殊原因不能在上述时间内完成的项目，由咨询人向委托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另行申请延时。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）本工程在咨询过程中咨询人</w:t>
      </w:r>
      <w:r>
        <w:rPr>
          <w:rFonts w:hint="eastAsia" w:ascii="仿宋_GB2312" w:hAnsi="仿宋_GB2312" w:eastAsia="仿宋_GB2312" w:cs="仿宋_GB2312"/>
          <w:color w:val="auto"/>
          <w:sz w:val="30"/>
          <w:szCs w:val="30"/>
          <w:highlight w:val="none"/>
          <w:lang w:eastAsia="zh-CN"/>
        </w:rPr>
        <w:t>需</w:t>
      </w:r>
      <w:r>
        <w:rPr>
          <w:rFonts w:hint="eastAsia" w:ascii="仿宋_GB2312" w:hAnsi="仿宋_GB2312" w:eastAsia="仿宋_GB2312" w:cs="仿宋_GB2312"/>
          <w:color w:val="auto"/>
          <w:sz w:val="30"/>
          <w:szCs w:val="30"/>
          <w:highlight w:val="none"/>
        </w:rPr>
        <w:t>派</w:t>
      </w:r>
      <w:r>
        <w:rPr>
          <w:rFonts w:hint="eastAsia" w:ascii="仿宋_GB2312" w:hAnsi="仿宋_GB2312" w:eastAsia="仿宋_GB2312" w:cs="仿宋_GB2312"/>
          <w:color w:val="auto"/>
          <w:sz w:val="30"/>
          <w:szCs w:val="30"/>
          <w:highlight w:val="none"/>
          <w:lang w:eastAsia="zh-CN"/>
        </w:rPr>
        <w:t>负责本项目的</w:t>
      </w:r>
      <w:r>
        <w:rPr>
          <w:rFonts w:hint="eastAsia" w:ascii="仿宋_GB2312" w:hAnsi="仿宋_GB2312" w:eastAsia="仿宋_GB2312" w:cs="仿宋_GB2312"/>
          <w:color w:val="auto"/>
          <w:sz w:val="30"/>
          <w:szCs w:val="30"/>
          <w:highlight w:val="none"/>
        </w:rPr>
        <w:t>造价技术人员</w:t>
      </w:r>
      <w:r>
        <w:rPr>
          <w:rFonts w:hint="eastAsia" w:ascii="仿宋_GB2312" w:hAnsi="仿宋_GB2312" w:eastAsia="仿宋_GB2312" w:cs="仿宋_GB2312"/>
          <w:color w:val="auto"/>
          <w:sz w:val="30"/>
          <w:szCs w:val="30"/>
          <w:highlight w:val="none"/>
          <w:lang w:eastAsia="zh-CN"/>
        </w:rPr>
        <w:t>驻场</w:t>
      </w:r>
      <w:r>
        <w:rPr>
          <w:rFonts w:hint="eastAsia" w:ascii="仿宋_GB2312" w:hAnsi="仿宋_GB2312" w:eastAsia="仿宋_GB2312" w:cs="仿宋_GB2312"/>
          <w:color w:val="auto"/>
          <w:sz w:val="30"/>
          <w:szCs w:val="30"/>
          <w:highlight w:val="none"/>
        </w:rPr>
        <w:t>与河池市财政评审中心或市审计局对造价文件进行核对，</w:t>
      </w:r>
      <w:r>
        <w:rPr>
          <w:rFonts w:hint="eastAsia" w:ascii="仿宋_GB2312" w:hAnsi="仿宋_GB2312" w:eastAsia="仿宋_GB2312" w:cs="仿宋_GB2312"/>
          <w:color w:val="auto"/>
          <w:sz w:val="30"/>
          <w:szCs w:val="30"/>
          <w:highlight w:val="none"/>
          <w:lang w:eastAsia="zh-CN"/>
        </w:rPr>
        <w:t>直至市财政评审中心或审计局出具审核结论为止。派员驻场开始时间以</w:t>
      </w:r>
      <w:r>
        <w:rPr>
          <w:rFonts w:hint="eastAsia" w:ascii="仿宋_GB2312" w:hAnsi="仿宋_GB2312" w:eastAsia="仿宋_GB2312" w:cs="仿宋_GB2312"/>
          <w:color w:val="auto"/>
          <w:sz w:val="30"/>
          <w:szCs w:val="30"/>
          <w:highlight w:val="none"/>
          <w:lang w:val="en-US" w:eastAsia="zh-CN"/>
        </w:rPr>
        <w:t>委托方</w:t>
      </w:r>
      <w:r>
        <w:rPr>
          <w:rFonts w:hint="eastAsia" w:ascii="仿宋_GB2312" w:hAnsi="仿宋_GB2312" w:eastAsia="仿宋_GB2312" w:cs="仿宋_GB2312"/>
          <w:color w:val="auto"/>
          <w:sz w:val="30"/>
          <w:szCs w:val="30"/>
          <w:highlight w:val="none"/>
          <w:lang w:eastAsia="zh-CN"/>
        </w:rPr>
        <w:t>通知为准（通知方式包括但不限于微信、短信、电话、发函等形式），接到通知后如咨询人未按委托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通知时间安排人员到委托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指定地点驻场办公</w:t>
      </w:r>
      <w:r>
        <w:rPr>
          <w:rFonts w:hint="eastAsia" w:ascii="仿宋_GB2312" w:hAnsi="仿宋_GB2312" w:eastAsia="仿宋_GB2312" w:cs="仿宋_GB2312"/>
          <w:color w:val="auto"/>
          <w:sz w:val="30"/>
          <w:szCs w:val="30"/>
          <w:highlight w:val="none"/>
        </w:rPr>
        <w:t>则视为违约，</w:t>
      </w:r>
      <w:r>
        <w:rPr>
          <w:rFonts w:hint="eastAsia" w:ascii="仿宋_GB2312" w:hAnsi="仿宋_GB2312" w:eastAsia="仿宋_GB2312" w:cs="仿宋_GB2312"/>
          <w:color w:val="auto"/>
          <w:sz w:val="30"/>
          <w:szCs w:val="30"/>
          <w:highlight w:val="none"/>
          <w:lang w:eastAsia="zh-CN"/>
        </w:rPr>
        <w:t>造价技术人员</w:t>
      </w:r>
      <w:r>
        <w:rPr>
          <w:rFonts w:hint="eastAsia" w:ascii="仿宋_GB2312" w:hAnsi="仿宋_GB2312" w:eastAsia="仿宋_GB2312" w:cs="仿宋_GB2312"/>
          <w:color w:val="auto"/>
          <w:sz w:val="30"/>
          <w:szCs w:val="30"/>
          <w:highlight w:val="none"/>
        </w:rPr>
        <w:t>每</w:t>
      </w:r>
      <w:r>
        <w:rPr>
          <w:rFonts w:hint="eastAsia" w:ascii="仿宋_GB2312" w:hAnsi="仿宋_GB2312" w:eastAsia="仿宋_GB2312" w:cs="仿宋_GB2312"/>
          <w:color w:val="auto"/>
          <w:sz w:val="30"/>
          <w:szCs w:val="30"/>
          <w:highlight w:val="none"/>
          <w:lang w:eastAsia="zh-CN"/>
        </w:rPr>
        <w:t>延迟</w:t>
      </w:r>
      <w:r>
        <w:rPr>
          <w:rFonts w:hint="eastAsia" w:ascii="仿宋_GB2312" w:hAnsi="仿宋_GB2312" w:eastAsia="仿宋_GB2312" w:cs="仿宋_GB2312"/>
          <w:color w:val="auto"/>
          <w:sz w:val="30"/>
          <w:szCs w:val="30"/>
          <w:highlight w:val="none"/>
        </w:rPr>
        <w:t>一</w:t>
      </w:r>
      <w:r>
        <w:rPr>
          <w:rFonts w:hint="eastAsia" w:ascii="仿宋_GB2312" w:hAnsi="仿宋_GB2312" w:eastAsia="仿宋_GB2312" w:cs="仿宋_GB2312"/>
          <w:color w:val="auto"/>
          <w:sz w:val="30"/>
          <w:szCs w:val="30"/>
          <w:highlight w:val="none"/>
          <w:lang w:eastAsia="zh-CN"/>
        </w:rPr>
        <w:t>天到达咨询人需承担违约金为</w:t>
      </w:r>
      <w:r>
        <w:rPr>
          <w:rFonts w:hint="eastAsia" w:ascii="仿宋_GB2312" w:hAnsi="仿宋_GB2312" w:eastAsia="仿宋_GB2312" w:cs="仿宋_GB2312"/>
          <w:color w:val="auto"/>
          <w:sz w:val="30"/>
          <w:szCs w:val="30"/>
          <w:highlight w:val="none"/>
        </w:rPr>
        <w:t>人民币</w:t>
      </w:r>
      <w:r>
        <w:rPr>
          <w:rFonts w:hint="eastAsia" w:ascii="仿宋_GB2312" w:hAnsi="仿宋_GB2312" w:eastAsia="仿宋_GB2312" w:cs="仿宋_GB2312"/>
          <w:color w:val="auto"/>
          <w:sz w:val="30"/>
          <w:szCs w:val="30"/>
          <w:highlight w:val="none"/>
          <w:lang w:eastAsia="zh-CN"/>
        </w:rPr>
        <w:t>壹</w:t>
      </w:r>
      <w:r>
        <w:rPr>
          <w:rFonts w:hint="eastAsia" w:ascii="仿宋_GB2312" w:hAnsi="仿宋_GB2312" w:eastAsia="仿宋_GB2312" w:cs="仿宋_GB2312"/>
          <w:color w:val="auto"/>
          <w:sz w:val="30"/>
          <w:szCs w:val="30"/>
          <w:highlight w:val="none"/>
        </w:rPr>
        <w:t>仟元</w:t>
      </w:r>
      <w:r>
        <w:rPr>
          <w:rFonts w:hint="eastAsia" w:ascii="仿宋_GB2312" w:hAnsi="仿宋_GB2312" w:eastAsia="仿宋_GB2312" w:cs="仿宋_GB2312"/>
          <w:color w:val="auto"/>
          <w:sz w:val="30"/>
          <w:szCs w:val="30"/>
          <w:highlight w:val="none"/>
          <w:lang w:eastAsia="zh-CN"/>
        </w:rPr>
        <w:t>，延迟两天为贰仟元，以此类推……</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违约金由委托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从咨询费中扣除。</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、质量标准：</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咨询人要严格遵守国家的法律、法规和有关规章制度，严格遵守各自行业的行为准则、审核规程及质量要求，严格遵守《政府投资项目审计规定》、《广西壮族自治区政府投资建设项目审计办法》、《工程造价咨询单位执业行为准则》、《造价工程师职业道德行为准则》及与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签订的合同的相关规定、考评办法。</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2.咨询人按国家、自治区及行业规范要求进行</w:t>
      </w:r>
      <w:r>
        <w:rPr>
          <w:rFonts w:hint="eastAsia" w:ascii="仿宋_GB2312" w:hAnsi="仿宋_GB2312" w:eastAsia="仿宋_GB2312" w:cs="仿宋_GB2312"/>
          <w:color w:val="auto"/>
          <w:sz w:val="30"/>
          <w:szCs w:val="30"/>
          <w:highlight w:val="none"/>
          <w:lang w:val="en-US" w:eastAsia="zh-CN"/>
        </w:rPr>
        <w:t>审核</w:t>
      </w:r>
      <w:r>
        <w:rPr>
          <w:rFonts w:hint="eastAsia" w:ascii="仿宋_GB2312" w:hAnsi="仿宋_GB2312" w:eastAsia="仿宋_GB2312" w:cs="仿宋_GB2312"/>
          <w:color w:val="auto"/>
          <w:sz w:val="30"/>
          <w:szCs w:val="30"/>
          <w:highlight w:val="none"/>
        </w:rPr>
        <w:t>成果文件，并对成果文件负责,成果文件须经过河池市财政评中心审批或委托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认可。</w:t>
      </w:r>
    </w:p>
    <w:p>
      <w:pPr>
        <w:pStyle w:val="6"/>
        <w:keepNext w:val="0"/>
        <w:keepLines w:val="0"/>
        <w:pageBreakBefore w:val="0"/>
        <w:kinsoku/>
        <w:wordWrap/>
        <w:overflowPunct/>
        <w:topLinePunct w:val="0"/>
        <w:autoSpaceDE/>
        <w:autoSpaceDN/>
        <w:bidi w:val="0"/>
        <w:adjustRightInd/>
        <w:spacing w:after="0" w:line="520" w:lineRule="exact"/>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3.工程量需要根据委托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提供的图纸及工程量清单规范等相关文件规定计算并列出详细计算</w:t>
      </w:r>
      <w:r>
        <w:rPr>
          <w:rFonts w:hint="eastAsia" w:ascii="仿宋_GB2312" w:hAnsi="仿宋_GB2312" w:eastAsia="仿宋_GB2312" w:cs="仿宋_GB2312"/>
          <w:color w:val="auto"/>
          <w:sz w:val="30"/>
          <w:szCs w:val="30"/>
          <w:highlight w:val="none"/>
          <w:lang w:val="en-US" w:eastAsia="zh-CN"/>
        </w:rPr>
        <w:t>公</w:t>
      </w:r>
      <w:r>
        <w:rPr>
          <w:rFonts w:hint="eastAsia" w:ascii="仿宋_GB2312" w:hAnsi="仿宋_GB2312" w:eastAsia="仿宋_GB2312" w:cs="仿宋_GB2312"/>
          <w:color w:val="auto"/>
          <w:sz w:val="30"/>
          <w:szCs w:val="30"/>
          <w:highlight w:val="none"/>
        </w:rPr>
        <w:t>式。</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 审核质量偏差</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因咨询人原因，委托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或市财政局评审中心、市审计局复核审定造价与咨询人初次提交的咨询成果文件造价误差在</w:t>
      </w: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%的，相应扣减委托代理业务费的</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0%；误差在</w:t>
      </w:r>
      <w:r>
        <w:rPr>
          <w:rFonts w:hint="eastAsia" w:ascii="仿宋_GB2312" w:hAnsi="仿宋_GB2312" w:eastAsia="仿宋_GB2312" w:cs="仿宋_GB2312"/>
          <w:color w:val="auto"/>
          <w:sz w:val="30"/>
          <w:szCs w:val="30"/>
          <w:highlight w:val="none"/>
          <w:lang w:val="en-US" w:eastAsia="zh-CN"/>
        </w:rPr>
        <w:t>9%-11%</w:t>
      </w:r>
      <w:r>
        <w:rPr>
          <w:rFonts w:hint="eastAsia" w:ascii="仿宋_GB2312" w:hAnsi="仿宋_GB2312" w:eastAsia="仿宋_GB2312" w:cs="仿宋_GB2312"/>
          <w:color w:val="auto"/>
          <w:sz w:val="30"/>
          <w:szCs w:val="30"/>
          <w:highlight w:val="none"/>
        </w:rPr>
        <w:t>的，扣减委托代理业务费的</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误差</w:t>
      </w:r>
      <w:r>
        <w:rPr>
          <w:rFonts w:hint="eastAsia" w:ascii="仿宋_GB2312" w:hAnsi="仿宋_GB2312" w:eastAsia="仿宋_GB2312" w:cs="仿宋_GB2312"/>
          <w:color w:val="auto"/>
          <w:sz w:val="30"/>
          <w:szCs w:val="30"/>
          <w:highlight w:val="none"/>
          <w:lang w:val="en-US" w:eastAsia="zh-CN"/>
        </w:rPr>
        <w:t>11%-13%的，扣减委托代理业务费的20%；</w:t>
      </w:r>
      <w:r>
        <w:rPr>
          <w:rFonts w:hint="eastAsia" w:ascii="仿宋_GB2312" w:hAnsi="仿宋_GB2312" w:eastAsia="仿宋_GB2312" w:cs="仿宋_GB2312"/>
          <w:color w:val="auto"/>
          <w:sz w:val="30"/>
          <w:szCs w:val="30"/>
          <w:highlight w:val="none"/>
        </w:rPr>
        <w:t>误差在</w:t>
      </w:r>
      <w:r>
        <w:rPr>
          <w:rFonts w:hint="eastAsia" w:ascii="仿宋_GB2312" w:hAnsi="仿宋_GB2312" w:eastAsia="仿宋_GB2312" w:cs="仿宋_GB2312"/>
          <w:color w:val="auto"/>
          <w:sz w:val="30"/>
          <w:szCs w:val="30"/>
          <w:highlight w:val="none"/>
          <w:lang w:val="en-US" w:eastAsia="zh-CN"/>
        </w:rPr>
        <w:t>13%-15%</w:t>
      </w:r>
      <w:r>
        <w:rPr>
          <w:rFonts w:hint="eastAsia" w:ascii="仿宋_GB2312" w:hAnsi="仿宋_GB2312" w:eastAsia="仿宋_GB2312" w:cs="仿宋_GB2312"/>
          <w:color w:val="auto"/>
          <w:sz w:val="30"/>
          <w:szCs w:val="30"/>
          <w:highlight w:val="none"/>
        </w:rPr>
        <w:t>的，扣减委托代理业务费的</w:t>
      </w:r>
      <w:r>
        <w:rPr>
          <w:rFonts w:hint="eastAsia" w:ascii="仿宋_GB2312" w:hAnsi="仿宋_GB2312" w:eastAsia="仿宋_GB2312" w:cs="仿宋_GB2312"/>
          <w:color w:val="auto"/>
          <w:sz w:val="30"/>
          <w:szCs w:val="30"/>
          <w:highlight w:val="none"/>
          <w:lang w:val="en-US" w:eastAsia="zh-CN"/>
        </w:rPr>
        <w:t>30</w:t>
      </w:r>
      <w:r>
        <w:rPr>
          <w:rFonts w:hint="eastAsia" w:ascii="仿宋_GB2312" w:hAnsi="仿宋_GB2312" w:eastAsia="仿宋_GB2312" w:cs="仿宋_GB2312"/>
          <w:color w:val="auto"/>
          <w:sz w:val="30"/>
          <w:szCs w:val="30"/>
          <w:highlight w:val="none"/>
        </w:rPr>
        <w:t>%；在委托协议期间内有误差率超过</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%以上的，委托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有权取消咨询</w:t>
      </w:r>
      <w:r>
        <w:rPr>
          <w:rFonts w:hint="eastAsia" w:ascii="仿宋_GB2312" w:hAnsi="仿宋_GB2312" w:eastAsia="仿宋_GB2312" w:cs="仿宋_GB2312"/>
          <w:color w:val="auto"/>
          <w:sz w:val="30"/>
          <w:szCs w:val="30"/>
          <w:highlight w:val="none"/>
          <w:lang w:eastAsia="zh-CN"/>
        </w:rPr>
        <w:t>合同</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以上所述误差为因咨询人原因造成的质量偏差。</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lang w:eastAsia="zh-CN"/>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每年终将对咨询人受托审核项目的审核准确性及廉政情况进行年度考评，其考评成果将存档，以备查验，作为评定咨询人业务质量和执业道德的依据。</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四</w:t>
      </w:r>
      <w:r>
        <w:rPr>
          <w:rFonts w:hint="eastAsia" w:ascii="仿宋_GB2312" w:hAnsi="仿宋_GB2312" w:eastAsia="仿宋_GB2312" w:cs="仿宋_GB2312"/>
          <w:color w:val="auto"/>
          <w:sz w:val="30"/>
          <w:szCs w:val="30"/>
          <w:highlight w:val="none"/>
        </w:rPr>
        <w:t>、咨询费用</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eastAsia="zh-CN"/>
        </w:rPr>
        <w:t>咨询</w:t>
      </w:r>
      <w:r>
        <w:rPr>
          <w:rFonts w:hint="eastAsia" w:ascii="仿宋_GB2312" w:hAnsi="仿宋_GB2312" w:eastAsia="仿宋_GB2312" w:cs="仿宋_GB2312"/>
          <w:color w:val="auto"/>
          <w:sz w:val="30"/>
          <w:szCs w:val="30"/>
          <w:highlight w:val="none"/>
        </w:rPr>
        <w:t>服务费率为：</w:t>
      </w:r>
      <w:r>
        <w:rPr>
          <w:rFonts w:hint="eastAsia" w:ascii="仿宋_GB2312" w:hAnsi="仿宋_GB2312" w:eastAsia="仿宋_GB2312" w:cs="仿宋_GB2312"/>
          <w:color w:val="auto"/>
          <w:sz w:val="30"/>
          <w:szCs w:val="30"/>
          <w:highlight w:val="none"/>
          <w:u w:val="single"/>
          <w:lang w:val="en-US" w:eastAsia="zh-CN"/>
        </w:rPr>
        <w:t>1</w:t>
      </w:r>
      <w:r>
        <w:rPr>
          <w:rFonts w:hint="eastAsia" w:ascii="仿宋_GB2312" w:hAnsi="仿宋_GB2312" w:eastAsia="仿宋_GB2312" w:cs="仿宋_GB2312"/>
          <w:color w:val="auto"/>
          <w:sz w:val="30"/>
          <w:szCs w:val="30"/>
          <w:highlight w:val="none"/>
          <w:u w:val="single"/>
        </w:rPr>
        <w:t>000万</w:t>
      </w:r>
      <w:r>
        <w:rPr>
          <w:rFonts w:hint="eastAsia" w:ascii="仿宋_GB2312" w:hAnsi="仿宋_GB2312" w:eastAsia="仿宋_GB2312" w:cs="仿宋_GB2312"/>
          <w:color w:val="auto"/>
          <w:sz w:val="30"/>
          <w:szCs w:val="30"/>
          <w:highlight w:val="none"/>
          <w:u w:val="single"/>
          <w:lang w:eastAsia="zh-CN"/>
        </w:rPr>
        <w:t>元</w:t>
      </w:r>
      <w:r>
        <w:rPr>
          <w:rFonts w:hint="eastAsia" w:ascii="仿宋_GB2312" w:hAnsi="仿宋_GB2312" w:eastAsia="仿宋_GB2312" w:cs="仿宋_GB2312"/>
          <w:color w:val="auto"/>
          <w:sz w:val="30"/>
          <w:szCs w:val="30"/>
          <w:highlight w:val="none"/>
          <w:u w:val="single"/>
        </w:rPr>
        <w:t>以下为2.49‰，1000万元~5000万元（含）为1.92‰，5000万元~2亿元（含）为1.66‰</w:t>
      </w:r>
      <w:r>
        <w:rPr>
          <w:rFonts w:hint="eastAsia" w:ascii="仿宋_GB2312" w:hAnsi="仿宋_GB2312" w:eastAsia="仿宋_GB2312" w:cs="仿宋_GB2312"/>
          <w:color w:val="auto"/>
          <w:sz w:val="30"/>
          <w:szCs w:val="30"/>
          <w:highlight w:val="none"/>
          <w:u w:val="single"/>
          <w:lang w:eastAsia="zh-CN"/>
        </w:rPr>
        <w:t>，采取差额定率分档累进方法计算，不足</w:t>
      </w:r>
      <w:r>
        <w:rPr>
          <w:rFonts w:hint="eastAsia" w:ascii="仿宋_GB2312" w:hAnsi="仿宋_GB2312" w:eastAsia="仿宋_GB2312" w:cs="仿宋_GB2312"/>
          <w:color w:val="auto"/>
          <w:sz w:val="30"/>
          <w:szCs w:val="30"/>
          <w:highlight w:val="none"/>
          <w:u w:val="single"/>
          <w:lang w:val="en-US" w:eastAsia="zh-CN"/>
        </w:rPr>
        <w:t>3000元的按3000元计费。</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（2）咨询费用以委托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或市财政局评审中心复核审定价为基数×</w:t>
      </w:r>
      <w:r>
        <w:rPr>
          <w:rFonts w:hint="eastAsia" w:ascii="仿宋_GB2312" w:hAnsi="仿宋_GB2312" w:eastAsia="仿宋_GB2312" w:cs="仿宋_GB2312"/>
          <w:color w:val="auto"/>
          <w:sz w:val="30"/>
          <w:szCs w:val="30"/>
          <w:highlight w:val="none"/>
          <w:lang w:eastAsia="zh-CN"/>
        </w:rPr>
        <w:t>咨询</w:t>
      </w:r>
      <w:r>
        <w:rPr>
          <w:rFonts w:hint="eastAsia" w:ascii="仿宋_GB2312" w:hAnsi="仿宋_GB2312" w:eastAsia="仿宋_GB2312" w:cs="仿宋_GB2312"/>
          <w:color w:val="auto"/>
          <w:sz w:val="30"/>
          <w:szCs w:val="30"/>
          <w:highlight w:val="none"/>
        </w:rPr>
        <w:t>服务费率×（1-</w:t>
      </w:r>
      <w:r>
        <w:rPr>
          <w:rFonts w:hint="eastAsia" w:ascii="仿宋_GB2312" w:hAnsi="仿宋_GB2312" w:eastAsia="仿宋_GB2312" w:cs="仿宋_GB2312"/>
          <w:color w:val="auto"/>
          <w:sz w:val="30"/>
          <w:szCs w:val="30"/>
          <w:highlight w:val="none"/>
          <w:lang w:val="en-US" w:eastAsia="zh-CN"/>
        </w:rPr>
        <w:t>下浮费率</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u w:val="none"/>
          <w:lang w:eastAsia="zh-CN"/>
        </w:rPr>
        <w:t>不足</w:t>
      </w:r>
      <w:r>
        <w:rPr>
          <w:rFonts w:hint="eastAsia" w:ascii="仿宋_GB2312" w:hAnsi="仿宋_GB2312" w:eastAsia="仿宋_GB2312" w:cs="仿宋_GB2312"/>
          <w:color w:val="auto"/>
          <w:sz w:val="30"/>
          <w:szCs w:val="30"/>
          <w:highlight w:val="none"/>
          <w:u w:val="none"/>
          <w:lang w:val="en-US" w:eastAsia="zh-CN"/>
        </w:rPr>
        <w:t>3000元的按3000元计费</w:t>
      </w:r>
      <w:r>
        <w:rPr>
          <w:rFonts w:hint="eastAsia" w:ascii="仿宋_GB2312" w:hAnsi="仿宋_GB2312" w:eastAsia="仿宋_GB2312" w:cs="仿宋_GB2312"/>
          <w:color w:val="auto"/>
          <w:sz w:val="30"/>
          <w:szCs w:val="30"/>
          <w:highlight w:val="none"/>
        </w:rPr>
        <w:t>。</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kern w:val="2"/>
          <w:sz w:val="30"/>
          <w:szCs w:val="30"/>
          <w:highlight w:val="none"/>
          <w:lang w:val="en-US" w:eastAsia="zh-CN" w:bidi="ar-SA"/>
        </w:rPr>
        <w:t>（3）咨询费用为咨询人为完成本合同规定所需的全部费用，包括但不限于：服务费、审核费、驻场人员差旅费、税金等。</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color w:val="auto"/>
          <w:sz w:val="30"/>
          <w:szCs w:val="30"/>
          <w:highlight w:val="none"/>
        </w:rPr>
        <w:t>、合同文件的构成</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本协议书与下列文件一起构成合同文件: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1.专用条件；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2.通用条件；</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上述各项合同文件包括合同当事人就该项合同文件所作出的补充和修改，属于同一类内容的文件，应以最新签署的为准。</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在合同订立及履行过程中形成的与合同有关的文件（包括补充协议）均构成合同文件的组成部分。</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六</w:t>
      </w:r>
      <w:r>
        <w:rPr>
          <w:rFonts w:hint="eastAsia" w:ascii="仿宋_GB2312" w:hAnsi="仿宋_GB2312" w:eastAsia="仿宋_GB2312" w:cs="仿宋_GB2312"/>
          <w:color w:val="auto"/>
          <w:sz w:val="30"/>
          <w:szCs w:val="30"/>
          <w:highlight w:val="none"/>
        </w:rPr>
        <w:t>、词语定义</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协议书中相关词语的含义与通用条件中的定义与解释相同。</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七</w:t>
      </w:r>
      <w:r>
        <w:rPr>
          <w:rFonts w:hint="eastAsia" w:ascii="仿宋_GB2312" w:hAnsi="仿宋_GB2312" w:eastAsia="仿宋_GB2312" w:cs="仿宋_GB2312"/>
          <w:color w:val="auto"/>
          <w:sz w:val="30"/>
          <w:szCs w:val="30"/>
          <w:highlight w:val="none"/>
        </w:rPr>
        <w:t>、合同订立</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1.订立时间：202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   月   日。</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2.订立地点：河池市</w:t>
      </w:r>
      <w:r>
        <w:rPr>
          <w:rFonts w:hint="eastAsia" w:ascii="仿宋_GB2312" w:hAnsi="仿宋_GB2312" w:eastAsia="仿宋_GB2312" w:cs="仿宋_GB2312"/>
          <w:color w:val="auto"/>
          <w:sz w:val="30"/>
          <w:szCs w:val="30"/>
          <w:highlight w:val="none"/>
          <w:lang w:val="en-US" w:eastAsia="zh-CN"/>
        </w:rPr>
        <w:t>宜州</w:t>
      </w:r>
      <w:r>
        <w:rPr>
          <w:rFonts w:hint="eastAsia" w:ascii="仿宋_GB2312" w:hAnsi="仿宋_GB2312" w:eastAsia="仿宋_GB2312" w:cs="仿宋_GB2312"/>
          <w:color w:val="auto"/>
          <w:sz w:val="30"/>
          <w:szCs w:val="30"/>
          <w:highlight w:val="none"/>
        </w:rPr>
        <w:t>区</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八</w:t>
      </w:r>
      <w:r>
        <w:rPr>
          <w:rFonts w:hint="eastAsia" w:ascii="仿宋_GB2312" w:hAnsi="仿宋_GB2312" w:eastAsia="仿宋_GB2312" w:cs="仿宋_GB2312"/>
          <w:color w:val="auto"/>
          <w:sz w:val="30"/>
          <w:szCs w:val="30"/>
          <w:highlight w:val="none"/>
        </w:rPr>
        <w:t>、合同生效</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合同从签订之日起生效，至协助</w:t>
      </w:r>
      <w:r>
        <w:rPr>
          <w:rFonts w:hint="eastAsia" w:ascii="仿宋_GB2312" w:hAnsi="仿宋_GB2312" w:eastAsia="仿宋_GB2312" w:cs="仿宋_GB2312"/>
          <w:color w:val="auto"/>
          <w:sz w:val="30"/>
          <w:szCs w:val="30"/>
          <w:highlight w:val="none"/>
          <w:lang w:val="en-US" w:eastAsia="zh-CN"/>
        </w:rPr>
        <w:t>委托方</w:t>
      </w:r>
      <w:r>
        <w:rPr>
          <w:rFonts w:hint="eastAsia" w:ascii="仿宋_GB2312" w:hAnsi="仿宋_GB2312" w:eastAsia="仿宋_GB2312" w:cs="仿宋_GB2312"/>
          <w:color w:val="auto"/>
          <w:sz w:val="30"/>
          <w:szCs w:val="30"/>
          <w:highlight w:val="none"/>
        </w:rPr>
        <w:t>完成项目招标控制价审核完毕为止。</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十、合同份数</w:t>
      </w:r>
    </w:p>
    <w:p>
      <w:pPr>
        <w:keepNext w:val="0"/>
        <w:keepLines w:val="0"/>
        <w:pageBreakBefore w:val="0"/>
        <w:widowControl/>
        <w:kinsoku/>
        <w:wordWrap/>
        <w:overflowPunct/>
        <w:topLinePunct w:val="0"/>
        <w:autoSpaceDE/>
        <w:autoSpaceDN/>
        <w:bidi w:val="0"/>
        <w:adjustRightInd/>
        <w:spacing w:line="520" w:lineRule="exact"/>
        <w:ind w:firstLine="64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本合同一式</w:t>
      </w:r>
      <w:r>
        <w:rPr>
          <w:rFonts w:hint="eastAsia" w:ascii="仿宋_GB2312" w:hAnsi="仿宋_GB2312" w:eastAsia="仿宋_GB2312" w:cs="仿宋_GB2312"/>
          <w:color w:val="auto"/>
          <w:sz w:val="30"/>
          <w:szCs w:val="30"/>
          <w:highlight w:val="none"/>
          <w:u w:val="single"/>
        </w:rPr>
        <w:t>肆</w:t>
      </w:r>
      <w:r>
        <w:rPr>
          <w:rFonts w:hint="eastAsia" w:ascii="仿宋_GB2312" w:hAnsi="仿宋_GB2312" w:eastAsia="仿宋_GB2312" w:cs="仿宋_GB2312"/>
          <w:color w:val="auto"/>
          <w:sz w:val="30"/>
          <w:szCs w:val="30"/>
          <w:highlight w:val="none"/>
        </w:rPr>
        <w:t>份，具有同等法律效力，其中委托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执</w:t>
      </w:r>
      <w:r>
        <w:rPr>
          <w:rFonts w:hint="eastAsia" w:ascii="仿宋_GB2312" w:hAnsi="仿宋_GB2312" w:eastAsia="仿宋_GB2312" w:cs="仿宋_GB2312"/>
          <w:color w:val="auto"/>
          <w:sz w:val="30"/>
          <w:szCs w:val="30"/>
          <w:highlight w:val="none"/>
          <w:u w:val="single"/>
        </w:rPr>
        <w:t>贰</w:t>
      </w:r>
      <w:r>
        <w:rPr>
          <w:rFonts w:hint="eastAsia" w:ascii="仿宋_GB2312" w:hAnsi="仿宋_GB2312" w:eastAsia="仿宋_GB2312" w:cs="仿宋_GB2312"/>
          <w:color w:val="auto"/>
          <w:sz w:val="30"/>
          <w:szCs w:val="30"/>
          <w:highlight w:val="none"/>
        </w:rPr>
        <w:t>份，咨询人执</w:t>
      </w:r>
      <w:r>
        <w:rPr>
          <w:rFonts w:hint="eastAsia" w:ascii="仿宋_GB2312" w:hAnsi="仿宋_GB2312" w:eastAsia="仿宋_GB2312" w:cs="仿宋_GB2312"/>
          <w:color w:val="auto"/>
          <w:sz w:val="30"/>
          <w:szCs w:val="30"/>
          <w:highlight w:val="none"/>
          <w:u w:val="single"/>
        </w:rPr>
        <w:t>贰</w:t>
      </w:r>
      <w:r>
        <w:rPr>
          <w:rFonts w:hint="eastAsia" w:ascii="仿宋_GB2312" w:hAnsi="仿宋_GB2312" w:eastAsia="仿宋_GB2312" w:cs="仿宋_GB2312"/>
          <w:color w:val="auto"/>
          <w:sz w:val="30"/>
          <w:szCs w:val="30"/>
          <w:highlight w:val="none"/>
        </w:rPr>
        <w:t>份。</w:t>
      </w:r>
    </w:p>
    <w:p>
      <w:pPr>
        <w:pStyle w:val="2"/>
        <w:rPr>
          <w:color w:val="auto"/>
          <w:highlight w:val="none"/>
        </w:rPr>
      </w:pPr>
    </w:p>
    <w:p>
      <w:pPr>
        <w:pStyle w:val="2"/>
        <w:rPr>
          <w:color w:val="auto"/>
          <w:highlight w:val="none"/>
        </w:rPr>
      </w:pPr>
    </w:p>
    <w:tbl>
      <w:tblPr>
        <w:tblStyle w:val="10"/>
        <w:tblpPr w:leftFromText="180" w:rightFromText="180" w:vertAnchor="text" w:horzAnchor="page" w:tblpXSpec="center" w:tblpY="1228"/>
        <w:tblOverlap w:val="never"/>
        <w:tblW w:w="9869" w:type="dxa"/>
        <w:jc w:val="center"/>
        <w:tblLayout w:type="fixed"/>
        <w:tblCellMar>
          <w:top w:w="0" w:type="dxa"/>
          <w:left w:w="108" w:type="dxa"/>
          <w:bottom w:w="0" w:type="dxa"/>
          <w:right w:w="108" w:type="dxa"/>
        </w:tblCellMar>
      </w:tblPr>
      <w:tblGrid>
        <w:gridCol w:w="5341"/>
        <w:gridCol w:w="4528"/>
      </w:tblGrid>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eastAsiaTheme="minorEastAsia"/>
                <w:color w:val="auto"/>
                <w:kern w:val="0"/>
                <w:sz w:val="24"/>
                <w:szCs w:val="24"/>
                <w:highlight w:val="none"/>
                <w:lang w:val="en-US" w:eastAsia="zh-CN"/>
              </w:rPr>
            </w:pPr>
            <w:r>
              <w:rPr>
                <w:rFonts w:hint="default" w:ascii="宋体" w:hAnsi="宋体" w:cs="Arial"/>
                <w:color w:val="auto"/>
                <w:kern w:val="0"/>
                <w:sz w:val="24"/>
                <w:szCs w:val="24"/>
                <w:highlight w:val="none"/>
              </w:rPr>
              <w:t>委托</w:t>
            </w:r>
            <w:r>
              <w:rPr>
                <w:rFonts w:hint="eastAsia" w:ascii="宋体" w:hAnsi="宋体" w:cs="Arial"/>
                <w:color w:val="auto"/>
                <w:kern w:val="0"/>
                <w:sz w:val="24"/>
                <w:szCs w:val="24"/>
                <w:highlight w:val="none"/>
                <w:lang w:val="en-US" w:eastAsia="zh-CN"/>
              </w:rPr>
              <w:t>方</w:t>
            </w:r>
            <w:r>
              <w:rPr>
                <w:rFonts w:hint="default" w:ascii="宋体" w:hAnsi="宋体" w:cs="Arial"/>
                <w:color w:val="auto"/>
                <w:kern w:val="0"/>
                <w:sz w:val="24"/>
                <w:szCs w:val="24"/>
                <w:highlight w:val="none"/>
              </w:rPr>
              <w:t>(盖章)：</w:t>
            </w:r>
            <w:r>
              <w:rPr>
                <w:rFonts w:hint="eastAsia" w:ascii="宋体" w:hAnsi="宋体" w:cs="Arial"/>
                <w:color w:val="auto"/>
                <w:kern w:val="0"/>
                <w:sz w:val="24"/>
                <w:szCs w:val="24"/>
                <w:highlight w:val="none"/>
                <w:lang w:val="en-US" w:eastAsia="zh-CN"/>
              </w:rPr>
              <w:t>河池市金峰投资开发有限公司</w:t>
            </w:r>
          </w:p>
        </w:tc>
        <w:tc>
          <w:tcPr>
            <w:tcW w:w="4528" w:type="dxa"/>
            <w:vAlign w:val="center"/>
          </w:tcPr>
          <w:p>
            <w:pPr>
              <w:keepNext w:val="0"/>
              <w:keepLines w:val="0"/>
              <w:widowControl/>
              <w:suppressLineNumbers w:val="0"/>
              <w:spacing w:before="0" w:beforeAutospacing="0" w:after="0" w:afterAutospacing="0"/>
              <w:ind w:left="0" w:right="0"/>
              <w:rPr>
                <w:rFonts w:hint="eastAsia" w:ascii="宋体" w:hAnsi="宋体" w:cs="Arial" w:eastAsiaTheme="minorEastAsia"/>
                <w:color w:val="auto"/>
                <w:kern w:val="0"/>
                <w:sz w:val="24"/>
                <w:szCs w:val="24"/>
                <w:highlight w:val="none"/>
                <w:lang w:eastAsia="zh-CN"/>
              </w:rPr>
            </w:pPr>
            <w:r>
              <w:rPr>
                <w:rFonts w:hint="eastAsia" w:ascii="宋体" w:hAnsi="宋体" w:cs="Arial"/>
                <w:color w:val="auto"/>
                <w:kern w:val="0"/>
                <w:sz w:val="24"/>
                <w:szCs w:val="24"/>
                <w:highlight w:val="none"/>
                <w:lang w:val="en-US" w:eastAsia="zh-CN"/>
              </w:rPr>
              <w:t>咨询</w:t>
            </w:r>
            <w:r>
              <w:rPr>
                <w:rFonts w:hint="eastAsia" w:ascii="宋体" w:hAnsi="宋体" w:cs="Arial"/>
                <w:color w:val="auto"/>
                <w:kern w:val="0"/>
                <w:sz w:val="24"/>
                <w:szCs w:val="24"/>
                <w:highlight w:val="none"/>
              </w:rPr>
              <w:t>人(盖章)：</w:t>
            </w:r>
          </w:p>
        </w:tc>
      </w:tr>
      <w:tr>
        <w:tblPrEx>
          <w:tblCellMar>
            <w:top w:w="0" w:type="dxa"/>
            <w:left w:w="108" w:type="dxa"/>
            <w:bottom w:w="0" w:type="dxa"/>
            <w:right w:w="108" w:type="dxa"/>
          </w:tblCellMar>
        </w:tblPrEx>
        <w:trPr>
          <w:trHeight w:val="923"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法定代表人或授权代理人</w:t>
            </w:r>
            <w:r>
              <w:rPr>
                <w:rFonts w:hint="default" w:ascii="宋体" w:hAnsi="宋体"/>
                <w:color w:val="auto"/>
                <w:sz w:val="24"/>
                <w:szCs w:val="24"/>
                <w:highlight w:val="none"/>
              </w:rPr>
              <w:t>(</w:t>
            </w:r>
            <w:r>
              <w:rPr>
                <w:rFonts w:hint="eastAsia" w:ascii="宋体" w:hAnsi="宋体"/>
                <w:color w:val="auto"/>
                <w:sz w:val="24"/>
                <w:szCs w:val="24"/>
                <w:highlight w:val="none"/>
              </w:rPr>
              <w:t>签字或盖章</w:t>
            </w:r>
            <w:r>
              <w:rPr>
                <w:rFonts w:hint="default" w:ascii="宋体" w:hAnsi="宋体"/>
                <w:color w:val="auto"/>
                <w:sz w:val="24"/>
                <w:szCs w:val="24"/>
                <w:highlight w:val="none"/>
              </w:rPr>
              <w:t>)</w:t>
            </w:r>
            <w:r>
              <w:rPr>
                <w:rFonts w:hint="eastAsia" w:ascii="宋体" w:hAnsi="宋体"/>
                <w:color w:val="auto"/>
                <w:sz w:val="24"/>
                <w:szCs w:val="24"/>
                <w:highlight w:val="none"/>
              </w:rPr>
              <w:t>：</w:t>
            </w:r>
          </w:p>
          <w:p>
            <w:pPr>
              <w:keepNext w:val="0"/>
              <w:keepLines w:val="0"/>
              <w:widowControl/>
              <w:suppressLineNumbers w:val="0"/>
              <w:spacing w:before="0" w:beforeAutospacing="0" w:after="0" w:afterAutospacing="0"/>
              <w:ind w:left="0" w:right="0"/>
              <w:rPr>
                <w:rFonts w:hint="default" w:ascii="宋体" w:hAnsi="宋体"/>
                <w:color w:val="auto"/>
                <w:sz w:val="24"/>
                <w:szCs w:val="24"/>
                <w:highlight w:val="none"/>
              </w:rPr>
            </w:pP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olor w:val="auto"/>
                <w:sz w:val="24"/>
                <w:szCs w:val="24"/>
                <w:highlight w:val="none"/>
              </w:rPr>
              <w:t>法定代表人或授权代理人</w:t>
            </w:r>
            <w:r>
              <w:rPr>
                <w:rFonts w:hint="default" w:ascii="宋体" w:hAnsi="宋体"/>
                <w:color w:val="auto"/>
                <w:sz w:val="24"/>
                <w:szCs w:val="24"/>
                <w:highlight w:val="none"/>
              </w:rPr>
              <w:t>(</w:t>
            </w:r>
            <w:r>
              <w:rPr>
                <w:rFonts w:hint="eastAsia" w:ascii="宋体" w:hAnsi="宋体"/>
                <w:color w:val="auto"/>
                <w:sz w:val="24"/>
                <w:szCs w:val="24"/>
                <w:highlight w:val="none"/>
              </w:rPr>
              <w:t>签字或盖章</w:t>
            </w:r>
            <w:r>
              <w:rPr>
                <w:rFonts w:hint="default" w:ascii="宋体" w:hAnsi="宋体"/>
                <w:color w:val="auto"/>
                <w:sz w:val="24"/>
                <w:szCs w:val="24"/>
                <w:highlight w:val="none"/>
              </w:rPr>
              <w:t>)</w:t>
            </w:r>
            <w:r>
              <w:rPr>
                <w:rFonts w:hint="eastAsia" w:ascii="宋体" w:hAnsi="宋体"/>
                <w:color w:val="auto"/>
                <w:sz w:val="24"/>
                <w:szCs w:val="24"/>
                <w:highlight w:val="none"/>
              </w:rPr>
              <w:t>：</w:t>
            </w:r>
          </w:p>
        </w:tc>
      </w:tr>
      <w:tr>
        <w:tblPrEx>
          <w:tblCellMar>
            <w:top w:w="0" w:type="dxa"/>
            <w:left w:w="108" w:type="dxa"/>
            <w:bottom w:w="0" w:type="dxa"/>
            <w:right w:w="108" w:type="dxa"/>
          </w:tblCellMar>
        </w:tblPrEx>
        <w:trPr>
          <w:trHeight w:val="805" w:hRule="atLeast"/>
          <w:jc w:val="center"/>
        </w:trPr>
        <w:tc>
          <w:tcPr>
            <w:tcW w:w="5341" w:type="dxa"/>
            <w:vAlign w:val="center"/>
          </w:tcPr>
          <w:p>
            <w:pPr>
              <w:keepNext w:val="0"/>
              <w:keepLines w:val="0"/>
              <w:widowControl/>
              <w:suppressLineNumbers w:val="0"/>
              <w:spacing w:before="0" w:beforeAutospacing="0" w:after="0" w:afterAutospacing="0"/>
              <w:ind w:left="0" w:right="0"/>
              <w:rPr>
                <w:rFonts w:hint="eastAsia" w:ascii="宋体" w:hAnsi="宋体" w:cs="Arial" w:eastAsiaTheme="minorEastAsia"/>
                <w:color w:val="auto"/>
                <w:kern w:val="0"/>
                <w:sz w:val="24"/>
                <w:szCs w:val="24"/>
                <w:highlight w:val="none"/>
                <w:lang w:eastAsia="zh-CN"/>
              </w:rPr>
            </w:pPr>
            <w:r>
              <w:rPr>
                <w:rFonts w:hint="eastAsia" w:ascii="宋体" w:hAnsi="宋体" w:cs="Arial"/>
                <w:color w:val="auto"/>
                <w:kern w:val="0"/>
                <w:sz w:val="24"/>
                <w:szCs w:val="24"/>
                <w:highlight w:val="none"/>
              </w:rPr>
              <w:t>经办人：</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b/>
                <w:color w:val="auto"/>
                <w:kern w:val="0"/>
                <w:sz w:val="24"/>
                <w:szCs w:val="24"/>
                <w:highlight w:val="none"/>
              </w:rPr>
            </w:pPr>
            <w:r>
              <w:rPr>
                <w:rFonts w:hint="default" w:ascii="宋体" w:hAnsi="宋体" w:cs="Arial"/>
                <w:color w:val="auto"/>
                <w:kern w:val="0"/>
                <w:sz w:val="24"/>
                <w:szCs w:val="24"/>
                <w:highlight w:val="none"/>
              </w:rPr>
              <w:t>联系人：</w:t>
            </w:r>
          </w:p>
        </w:tc>
      </w:tr>
      <w:tr>
        <w:tblPrEx>
          <w:tblCellMar>
            <w:top w:w="0" w:type="dxa"/>
            <w:left w:w="108" w:type="dxa"/>
            <w:bottom w:w="0" w:type="dxa"/>
            <w:right w:w="108" w:type="dxa"/>
          </w:tblCellMar>
        </w:tblPrEx>
        <w:trPr>
          <w:trHeight w:val="693"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  话：</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  话：</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 xml:space="preserve">地  址： </w:t>
            </w:r>
            <w:r>
              <w:rPr>
                <w:rFonts w:hint="eastAsia" w:ascii="Times New Roman" w:hAnsi="Times New Roman"/>
                <w:color w:val="auto"/>
                <w:kern w:val="0"/>
                <w:sz w:val="24"/>
                <w:szCs w:val="24"/>
                <w:highlight w:val="none"/>
              </w:rPr>
              <w:t>河池市</w:t>
            </w:r>
            <w:r>
              <w:rPr>
                <w:rFonts w:hint="eastAsia" w:ascii="Times New Roman" w:hAnsi="Times New Roman"/>
                <w:color w:val="auto"/>
                <w:kern w:val="0"/>
                <w:sz w:val="24"/>
                <w:szCs w:val="24"/>
                <w:highlight w:val="none"/>
                <w:lang w:val="en-US" w:eastAsia="zh-CN"/>
              </w:rPr>
              <w:t>宜州</w:t>
            </w:r>
            <w:r>
              <w:rPr>
                <w:rFonts w:hint="eastAsia" w:ascii="Times New Roman" w:hAnsi="Times New Roman"/>
                <w:color w:val="auto"/>
                <w:kern w:val="0"/>
                <w:sz w:val="24"/>
                <w:szCs w:val="24"/>
                <w:highlight w:val="none"/>
              </w:rPr>
              <w:t>区</w:t>
            </w:r>
            <w:r>
              <w:rPr>
                <w:rFonts w:hint="eastAsia" w:ascii="Times New Roman" w:hAnsi="Times New Roman"/>
                <w:color w:val="auto"/>
                <w:kern w:val="0"/>
                <w:sz w:val="24"/>
                <w:szCs w:val="24"/>
                <w:highlight w:val="none"/>
                <w:lang w:val="en-US" w:eastAsia="zh-CN"/>
              </w:rPr>
              <w:t>山谷</w:t>
            </w:r>
            <w:r>
              <w:rPr>
                <w:rFonts w:hint="eastAsia" w:ascii="Times New Roman" w:hAnsi="Times New Roman"/>
                <w:color w:val="auto"/>
                <w:kern w:val="0"/>
                <w:sz w:val="24"/>
                <w:szCs w:val="24"/>
                <w:highlight w:val="none"/>
              </w:rPr>
              <w:t>路</w:t>
            </w:r>
            <w:r>
              <w:rPr>
                <w:rFonts w:hint="eastAsia" w:ascii="Times New Roman" w:hAnsi="Times New Roman"/>
                <w:color w:val="auto"/>
                <w:kern w:val="0"/>
                <w:sz w:val="24"/>
                <w:szCs w:val="24"/>
                <w:highlight w:val="none"/>
                <w:lang w:val="en-US" w:eastAsia="zh-CN"/>
              </w:rPr>
              <w:t>84</w:t>
            </w:r>
            <w:r>
              <w:rPr>
                <w:rFonts w:hint="eastAsia" w:ascii="Times New Roman" w:hAnsi="Times New Roman"/>
                <w:color w:val="auto"/>
                <w:kern w:val="0"/>
                <w:sz w:val="24"/>
                <w:szCs w:val="24"/>
                <w:highlight w:val="none"/>
              </w:rPr>
              <w:t xml:space="preserve">号 </w:t>
            </w:r>
            <w:r>
              <w:rPr>
                <w:rFonts w:hint="eastAsia" w:ascii="宋体" w:hAnsi="宋体" w:cs="Arial"/>
                <w:color w:val="auto"/>
                <w:kern w:val="0"/>
                <w:sz w:val="24"/>
                <w:szCs w:val="24"/>
                <w:highlight w:val="none"/>
              </w:rPr>
              <w:t xml:space="preserve">   </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地  址：</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r>
              <w:rPr>
                <w:rFonts w:hint="eastAsia" w:ascii="宋体" w:hAnsi="宋体" w:cs="Arial"/>
                <w:color w:val="auto"/>
                <w:kern w:val="0"/>
                <w:sz w:val="24"/>
                <w:szCs w:val="24"/>
                <w:highlight w:val="none"/>
                <w:lang w:val="en-US" w:eastAsia="zh-CN"/>
              </w:rPr>
              <w:t xml:space="preserve"> </w:t>
            </w:r>
            <w:r>
              <w:rPr>
                <w:rFonts w:hint="default" w:ascii="宋体" w:hAnsi="宋体" w:cs="Arial"/>
                <w:color w:val="auto"/>
                <w:kern w:val="0"/>
                <w:sz w:val="24"/>
                <w:szCs w:val="24"/>
                <w:highlight w:val="none"/>
              </w:rPr>
              <w:t xml:space="preserve">     </w:t>
            </w:r>
          </w:p>
        </w:tc>
        <w:tc>
          <w:tcPr>
            <w:tcW w:w="4528" w:type="dxa"/>
            <w:vAlign w:val="center"/>
          </w:tcPr>
          <w:p>
            <w:pPr>
              <w:keepNext w:val="0"/>
              <w:keepLines w:val="0"/>
              <w:widowControl/>
              <w:suppressLineNumbers w:val="0"/>
              <w:spacing w:before="0" w:beforeAutospacing="0" w:after="0" w:afterAutospacing="0"/>
              <w:ind w:left="1080" w:right="0" w:hanging="1080" w:hangingChars="45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开户名称：</w:t>
            </w:r>
          </w:p>
        </w:tc>
        <w:tc>
          <w:tcPr>
            <w:tcW w:w="4528" w:type="dxa"/>
            <w:vAlign w:val="center"/>
          </w:tcPr>
          <w:p>
            <w:pPr>
              <w:keepNext w:val="0"/>
              <w:keepLines w:val="0"/>
              <w:widowControl/>
              <w:suppressLineNumbers w:val="0"/>
              <w:spacing w:before="0" w:beforeAutospacing="0" w:after="0" w:afterAutospacing="0"/>
              <w:ind w:left="0" w:right="0"/>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开户名称</w:t>
            </w:r>
            <w:r>
              <w:rPr>
                <w:rFonts w:hint="eastAsia" w:ascii="宋体" w:hAnsi="宋体" w:cs="Arial"/>
                <w:color w:val="auto"/>
                <w:kern w:val="0"/>
                <w:sz w:val="24"/>
                <w:szCs w:val="24"/>
                <w:highlight w:val="none"/>
                <w:lang w:eastAsia="zh-CN"/>
              </w:rPr>
              <w:t>：</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default"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农行河池市宜州支行</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default"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eastAsia="zh-CN"/>
              </w:rPr>
              <w:t>账</w:t>
            </w:r>
            <w:r>
              <w:rPr>
                <w:rFonts w:hint="eastAsia" w:ascii="宋体" w:hAnsi="宋体" w:cs="Arial"/>
                <w:color w:val="auto"/>
                <w:kern w:val="0"/>
                <w:sz w:val="24"/>
                <w:szCs w:val="24"/>
                <w:highlight w:val="none"/>
              </w:rPr>
              <w:t xml:space="preserve">    </w:t>
            </w:r>
            <w:r>
              <w:rPr>
                <w:rFonts w:hint="default" w:ascii="宋体" w:hAnsi="宋体" w:cs="Arial"/>
                <w:color w:val="auto"/>
                <w:kern w:val="0"/>
                <w:sz w:val="24"/>
                <w:szCs w:val="24"/>
                <w:highlight w:val="none"/>
              </w:rPr>
              <w:t>号</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20345270200100000185591</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eastAsia="zh-CN"/>
              </w:rPr>
              <w:t>账</w:t>
            </w:r>
            <w:r>
              <w:rPr>
                <w:rFonts w:hint="eastAsia" w:ascii="宋体" w:hAnsi="宋体" w:cs="Arial"/>
                <w:color w:val="auto"/>
                <w:kern w:val="0"/>
                <w:sz w:val="24"/>
                <w:szCs w:val="24"/>
                <w:highlight w:val="none"/>
              </w:rPr>
              <w:t xml:space="preserve">    </w:t>
            </w:r>
            <w:r>
              <w:rPr>
                <w:rFonts w:hint="default" w:ascii="宋体" w:hAnsi="宋体" w:cs="Arial"/>
                <w:color w:val="auto"/>
                <w:kern w:val="0"/>
                <w:sz w:val="24"/>
                <w:szCs w:val="24"/>
                <w:highlight w:val="none"/>
              </w:rPr>
              <w:t>号</w:t>
            </w:r>
            <w:r>
              <w:rPr>
                <w:rFonts w:hint="eastAsia" w:ascii="宋体" w:hAnsi="宋体" w:cs="Arial"/>
                <w:color w:val="auto"/>
                <w:kern w:val="0"/>
                <w:sz w:val="24"/>
                <w:szCs w:val="24"/>
                <w:highlight w:val="none"/>
              </w:rPr>
              <w:t>：</w:t>
            </w:r>
          </w:p>
        </w:tc>
      </w:tr>
      <w:tr>
        <w:tblPrEx>
          <w:tblCellMar>
            <w:top w:w="0" w:type="dxa"/>
            <w:left w:w="108" w:type="dxa"/>
            <w:bottom w:w="0" w:type="dxa"/>
            <w:right w:w="108" w:type="dxa"/>
          </w:tblCellMar>
        </w:tblPrEx>
        <w:trPr>
          <w:trHeight w:val="709" w:hRule="atLeast"/>
          <w:jc w:val="center"/>
        </w:trPr>
        <w:tc>
          <w:tcPr>
            <w:tcW w:w="5341"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社会信用代码：</w:t>
            </w:r>
          </w:p>
        </w:tc>
        <w:tc>
          <w:tcPr>
            <w:tcW w:w="4528" w:type="dxa"/>
            <w:vAlign w:val="center"/>
          </w:tcPr>
          <w:p>
            <w:pPr>
              <w:keepNext w:val="0"/>
              <w:keepLines w:val="0"/>
              <w:widowControl/>
              <w:suppressLineNumbers w:val="0"/>
              <w:spacing w:before="0" w:beforeAutospacing="0" w:after="0" w:afterAutospacing="0"/>
              <w:ind w:left="0" w:right="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社会信用代码：</w:t>
            </w:r>
          </w:p>
        </w:tc>
      </w:tr>
      <w:tr>
        <w:tblPrEx>
          <w:tblCellMar>
            <w:top w:w="0" w:type="dxa"/>
            <w:left w:w="108" w:type="dxa"/>
            <w:bottom w:w="0" w:type="dxa"/>
            <w:right w:w="108" w:type="dxa"/>
          </w:tblCellMar>
        </w:tblPrEx>
        <w:trPr>
          <w:trHeight w:val="409" w:hRule="atLeast"/>
          <w:jc w:val="center"/>
        </w:trPr>
        <w:tc>
          <w:tcPr>
            <w:tcW w:w="9869" w:type="dxa"/>
            <w:gridSpan w:val="2"/>
            <w:vAlign w:val="center"/>
          </w:tcPr>
          <w:p>
            <w:pPr>
              <w:keepNext w:val="0"/>
              <w:keepLines w:val="0"/>
              <w:widowControl/>
              <w:suppressLineNumbers w:val="0"/>
              <w:spacing w:before="0" w:beforeAutospacing="0" w:after="0" w:afterAutospacing="0"/>
              <w:ind w:left="0" w:right="0" w:firstLine="2400" w:firstLineChars="1000"/>
              <w:rPr>
                <w:rFonts w:hint="default" w:ascii="宋体" w:hAnsi="宋体" w:cs="Arial"/>
                <w:color w:val="auto"/>
                <w:kern w:val="0"/>
                <w:sz w:val="24"/>
                <w:szCs w:val="24"/>
                <w:highlight w:val="none"/>
              </w:rPr>
            </w:pPr>
          </w:p>
          <w:p>
            <w:pPr>
              <w:keepNext w:val="0"/>
              <w:keepLines w:val="0"/>
              <w:widowControl/>
              <w:suppressLineNumbers w:val="0"/>
              <w:spacing w:before="0" w:beforeAutospacing="0" w:after="0" w:afterAutospacing="0"/>
              <w:ind w:left="0" w:right="0" w:firstLine="3600" w:firstLineChars="15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日期： 202</w:t>
            </w:r>
            <w:r>
              <w:rPr>
                <w:rFonts w:hint="eastAsia" w:ascii="宋体" w:hAnsi="宋体" w:cs="Arial"/>
                <w:color w:val="auto"/>
                <w:kern w:val="0"/>
                <w:sz w:val="24"/>
                <w:szCs w:val="24"/>
                <w:highlight w:val="none"/>
                <w:lang w:val="en-US" w:eastAsia="zh-CN"/>
              </w:rPr>
              <w:t>4</w:t>
            </w:r>
            <w:r>
              <w:rPr>
                <w:rFonts w:hint="eastAsia" w:ascii="宋体" w:hAnsi="宋体" w:cs="Arial"/>
                <w:color w:val="auto"/>
                <w:kern w:val="0"/>
                <w:sz w:val="24"/>
                <w:szCs w:val="24"/>
                <w:highlight w:val="none"/>
              </w:rPr>
              <w:t>年    月    日</w:t>
            </w:r>
          </w:p>
        </w:tc>
      </w:tr>
    </w:tbl>
    <w:p>
      <w:pPr>
        <w:spacing w:line="360" w:lineRule="exact"/>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第二部分  通用条件</w:t>
      </w:r>
    </w:p>
    <w:p>
      <w:pPr>
        <w:spacing w:line="360" w:lineRule="exact"/>
        <w:ind w:firstLine="643" w:firstLineChars="200"/>
        <w:rPr>
          <w:rFonts w:asciiTheme="minorEastAsia" w:hAnsiTheme="minorEastAsia" w:eastAsiaTheme="minorEastAsia" w:cstheme="minorEastAsia"/>
          <w:b/>
          <w:color w:val="auto"/>
          <w:sz w:val="32"/>
          <w:szCs w:val="32"/>
          <w:highlight w:val="none"/>
        </w:rPr>
      </w:pPr>
    </w:p>
    <w:p>
      <w:pPr>
        <w:spacing w:line="360" w:lineRule="exact"/>
        <w:ind w:firstLine="643"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采用住房城乡建设部、工商总局制定的《建设工程造价咨询合同（示范文本）》（GF-2015-0212）。</w:t>
      </w: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pStyle w:val="2"/>
        <w:rPr>
          <w:color w:val="auto"/>
          <w:highlight w:val="none"/>
        </w:rPr>
      </w:pPr>
    </w:p>
    <w:p>
      <w:pPr>
        <w:spacing w:line="360" w:lineRule="exact"/>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spacing w:line="360" w:lineRule="exact"/>
        <w:ind w:firstLine="643" w:firstLineChars="200"/>
        <w:jc w:val="center"/>
        <w:rPr>
          <w:color w:val="auto"/>
          <w:highlight w:val="none"/>
        </w:rPr>
      </w:pPr>
      <w:r>
        <w:rPr>
          <w:rFonts w:hint="eastAsia" w:asciiTheme="minorEastAsia" w:hAnsiTheme="minorEastAsia" w:eastAsiaTheme="minorEastAsia" w:cstheme="minorEastAsia"/>
          <w:b/>
          <w:color w:val="auto"/>
          <w:sz w:val="32"/>
          <w:szCs w:val="32"/>
          <w:highlight w:val="none"/>
        </w:rPr>
        <w:t>第三部分  专用条件</w:t>
      </w:r>
    </w:p>
    <w:p>
      <w:pPr>
        <w:keepNext w:val="0"/>
        <w:keepLines w:val="0"/>
        <w:pageBreakBefore w:val="0"/>
        <w:widowControl w:val="0"/>
        <w:wordWrap/>
        <w:topLinePunct w:val="0"/>
        <w:autoSpaceDE/>
        <w:autoSpaceDN/>
        <w:bidi w:val="0"/>
        <w:adjustRightInd/>
        <w:spacing w:line="520" w:lineRule="exact"/>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1.词语定义、语言、解释顺序与适用法律</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1.2语言</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本合同文件使用中文。</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1.3合同文件的优先顺序</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本合同文件的解释顺序为：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 xml:space="preserve"> 。</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1.4适用法律</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本合同适用的其他规范性文件包括:</w:t>
      </w:r>
    </w:p>
    <w:p>
      <w:pPr>
        <w:keepNext w:val="0"/>
        <w:keepLines w:val="0"/>
        <w:pageBreakBefore w:val="0"/>
        <w:widowControl w:val="0"/>
        <w:wordWrap/>
        <w:topLinePunct w:val="0"/>
        <w:autoSpaceDE/>
        <w:autoSpaceDN/>
        <w:bidi w:val="0"/>
        <w:adjustRightInd/>
        <w:spacing w:line="520" w:lineRule="exact"/>
        <w:ind w:left="567"/>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u w:val="single"/>
        </w:rPr>
        <w:t>国家和广西制定的有关工程建设法律、法规等文件</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567"/>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u w:val="single"/>
        </w:rPr>
        <w:t>现行预算定额及费用计价规定</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567"/>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u w:val="single"/>
        </w:rPr>
        <w:t>《政府投资项目审计规定》</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567"/>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u w:val="single"/>
        </w:rPr>
        <w:t>《广西壮族自治区政府投资建设项目审计办法》</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567"/>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u w:val="single"/>
        </w:rPr>
        <w:t>《工程造价咨询单位执业行为准则》</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left="567"/>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u w:val="single"/>
        </w:rPr>
        <w:t>《造价工程师职业道德行为准则》</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2.委托</w:t>
      </w:r>
      <w:r>
        <w:rPr>
          <w:rFonts w:hint="eastAsia" w:ascii="仿宋_GB2312" w:hAnsi="仿宋_GB2312" w:eastAsia="仿宋_GB2312" w:cs="仿宋_GB2312"/>
          <w:b/>
          <w:color w:val="auto"/>
          <w:sz w:val="30"/>
          <w:szCs w:val="30"/>
          <w:highlight w:val="none"/>
          <w:lang w:val="en-US" w:eastAsia="zh-CN"/>
        </w:rPr>
        <w:t>方</w:t>
      </w:r>
      <w:r>
        <w:rPr>
          <w:rFonts w:hint="eastAsia" w:ascii="仿宋_GB2312" w:hAnsi="仿宋_GB2312" w:eastAsia="仿宋_GB2312" w:cs="仿宋_GB2312"/>
          <w:b/>
          <w:color w:val="auto"/>
          <w:sz w:val="30"/>
          <w:szCs w:val="30"/>
          <w:highlight w:val="none"/>
        </w:rPr>
        <w:t>的义务</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2.1提供资料</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提供与本合同咨询业务有关的资料包括：</w:t>
      </w:r>
      <w:r>
        <w:rPr>
          <w:rFonts w:hint="eastAsia" w:ascii="仿宋_GB2312" w:hAnsi="仿宋_GB2312" w:eastAsia="仿宋_GB2312" w:cs="仿宋_GB2312"/>
          <w:color w:val="auto"/>
          <w:sz w:val="30"/>
          <w:szCs w:val="30"/>
          <w:highlight w:val="none"/>
          <w:u w:val="single"/>
        </w:rPr>
        <w:t xml:space="preserve">  经</w:t>
      </w:r>
      <w:r>
        <w:rPr>
          <w:rFonts w:hint="eastAsia" w:ascii="仿宋_GB2312" w:hAnsi="仿宋_GB2312" w:eastAsia="仿宋_GB2312" w:cs="仿宋_GB2312"/>
          <w:color w:val="auto"/>
          <w:sz w:val="30"/>
          <w:szCs w:val="30"/>
          <w:highlight w:val="none"/>
          <w:u w:val="single"/>
          <w:lang w:val="en-US" w:eastAsia="zh-CN"/>
        </w:rPr>
        <w:t>委托方</w:t>
      </w:r>
      <w:r>
        <w:rPr>
          <w:rFonts w:hint="eastAsia" w:ascii="仿宋_GB2312" w:hAnsi="仿宋_GB2312" w:eastAsia="仿宋_GB2312" w:cs="仿宋_GB2312"/>
          <w:color w:val="auto"/>
          <w:sz w:val="30"/>
          <w:szCs w:val="30"/>
          <w:highlight w:val="none"/>
          <w:u w:val="single"/>
        </w:rPr>
        <w:t xml:space="preserve">审查认可的设计图纸等相关资料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2.2提供工作条件</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2.2.1项目咨询人员使用由委托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提供的房屋及设备，支付使用费的标准为：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2.3答复</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同意</w:t>
      </w:r>
      <w:r>
        <w:rPr>
          <w:rFonts w:hint="eastAsia" w:ascii="仿宋_GB2312" w:hAnsi="仿宋_GB2312" w:eastAsia="仿宋_GB2312" w:cs="仿宋_GB2312"/>
          <w:color w:val="auto"/>
          <w:sz w:val="30"/>
          <w:szCs w:val="30"/>
          <w:highlight w:val="none"/>
          <w:u w:val="single"/>
        </w:rPr>
        <w:t xml:space="preserve"> 3 </w:t>
      </w:r>
      <w:r>
        <w:rPr>
          <w:rFonts w:hint="eastAsia" w:ascii="仿宋_GB2312" w:hAnsi="仿宋_GB2312" w:eastAsia="仿宋_GB2312" w:cs="仿宋_GB2312"/>
          <w:color w:val="auto"/>
          <w:sz w:val="30"/>
          <w:szCs w:val="30"/>
          <w:highlight w:val="none"/>
        </w:rPr>
        <w:t>日内，对咨询人书面提交并要求做出决定的事宜给予书面答复。逾期未答复的，视为委托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认可。</w:t>
      </w:r>
    </w:p>
    <w:p>
      <w:pPr>
        <w:keepNext w:val="0"/>
        <w:keepLines w:val="0"/>
        <w:pageBreakBefore w:val="0"/>
        <w:widowControl w:val="0"/>
        <w:wordWrap/>
        <w:topLinePunct w:val="0"/>
        <w:autoSpaceDE/>
        <w:autoSpaceDN/>
        <w:bidi w:val="0"/>
        <w:adjustRightInd/>
        <w:spacing w:line="520" w:lineRule="exact"/>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3.咨询人的义务</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3.1项目咨询团队及人员</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3.1.1项目咨询团队人员的数量不少于 3人。咨询人在合同签订后1个工作日内提供项目咨询团队人员名单及联系方式。</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本工程服务的造价技术人员不少于3人，其中：</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①项目负责人应具有住房和城乡建设部颁发的一级注册造价工程师证书并具有</w:t>
      </w:r>
      <w:r>
        <w:rPr>
          <w:rFonts w:hint="eastAsia" w:ascii="仿宋_GB2312" w:hAnsi="仿宋_GB2312" w:eastAsia="仿宋_GB2312" w:cs="仿宋_GB2312"/>
          <w:color w:val="auto"/>
          <w:sz w:val="30"/>
          <w:szCs w:val="30"/>
          <w:highlight w:val="none"/>
          <w:lang w:eastAsia="zh-CN"/>
        </w:rPr>
        <w:t>中级</w:t>
      </w:r>
      <w:r>
        <w:rPr>
          <w:rFonts w:hint="eastAsia" w:ascii="仿宋_GB2312" w:hAnsi="仿宋_GB2312" w:eastAsia="仿宋_GB2312" w:cs="仿宋_GB2312"/>
          <w:color w:val="auto"/>
          <w:sz w:val="30"/>
          <w:szCs w:val="30"/>
          <w:highlight w:val="none"/>
        </w:rPr>
        <w:t>或</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级以上技术职称。</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②项目组其他2名造价技术人员中,造价专业应为</w:t>
      </w:r>
      <w:r>
        <w:rPr>
          <w:rFonts w:hint="eastAsia" w:ascii="仿宋_GB2312" w:hAnsi="仿宋_GB2312" w:eastAsia="仿宋_GB2312" w:cs="仿宋_GB2312"/>
          <w:color w:val="auto"/>
          <w:sz w:val="30"/>
          <w:szCs w:val="30"/>
          <w:highlight w:val="none"/>
          <w:lang w:val="en-US" w:eastAsia="zh-CN"/>
        </w:rPr>
        <w:t>水利</w:t>
      </w:r>
      <w:r>
        <w:rPr>
          <w:rFonts w:hint="eastAsia" w:ascii="仿宋_GB2312" w:hAnsi="仿宋_GB2312" w:eastAsia="仿宋_GB2312" w:cs="仿宋_GB2312"/>
          <w:color w:val="auto"/>
          <w:sz w:val="30"/>
          <w:szCs w:val="30"/>
          <w:highlight w:val="none"/>
        </w:rPr>
        <w:t>专业1人，安装专业1人。项目组其他2名造价技术人员中至少有1人为</w:t>
      </w:r>
      <w:r>
        <w:rPr>
          <w:rFonts w:hint="eastAsia" w:ascii="仿宋_GB2312" w:hAnsi="仿宋_GB2312" w:eastAsia="仿宋_GB2312" w:cs="仿宋_GB2312"/>
          <w:color w:val="auto"/>
          <w:sz w:val="30"/>
          <w:szCs w:val="30"/>
          <w:highlight w:val="none"/>
          <w:lang w:val="en-US" w:eastAsia="zh-CN"/>
        </w:rPr>
        <w:t>水利注册</w:t>
      </w:r>
      <w:r>
        <w:rPr>
          <w:rFonts w:hint="eastAsia" w:ascii="仿宋_GB2312" w:hAnsi="仿宋_GB2312" w:eastAsia="仿宋_GB2312" w:cs="仿宋_GB2312"/>
          <w:color w:val="auto"/>
          <w:sz w:val="30"/>
          <w:szCs w:val="30"/>
          <w:highlight w:val="none"/>
        </w:rPr>
        <w:t>造价工程师。</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③项目咨询团队需提交项目负责人一级造价师职业资格证书、职称证书、身份证复印件以及联系方式，项目组造价人员需提交职业资格证书、身份证复印件以及联系方式。上述复印件均需加盖单位公章。</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3.1.2项目负责人为：</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，项目负责人为履行本合同的权限为:</w:t>
      </w:r>
      <w:r>
        <w:rPr>
          <w:rFonts w:hint="eastAsia" w:ascii="仿宋_GB2312" w:hAnsi="仿宋_GB2312" w:eastAsia="仿宋_GB2312" w:cs="仿宋_GB2312"/>
          <w:color w:val="auto"/>
          <w:sz w:val="30"/>
          <w:szCs w:val="30"/>
          <w:highlight w:val="none"/>
          <w:u w:val="single"/>
        </w:rPr>
        <w:t xml:space="preserve"> 递交造价咨询成果文件，负责本工程造价咨询相关问题的核对、协调</w:t>
      </w:r>
      <w:r>
        <w:rPr>
          <w:rFonts w:hint="eastAsia" w:ascii="仿宋_GB2312" w:hAnsi="仿宋_GB2312" w:eastAsia="仿宋_GB2312" w:cs="仿宋_GB2312"/>
          <w:color w:val="auto"/>
          <w:sz w:val="30"/>
          <w:szCs w:val="30"/>
          <w:highlight w:val="none"/>
        </w:rPr>
        <w:t>。</w:t>
      </w:r>
    </w:p>
    <w:p>
      <w:pPr>
        <w:pStyle w:val="2"/>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3.1.3  项目组其他成员：</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3.1.4咨询人更换项目咨询团队其他咨询人员的约定：</w:t>
      </w:r>
      <w:r>
        <w:rPr>
          <w:rFonts w:hint="eastAsia" w:ascii="仿宋_GB2312" w:hAnsi="仿宋_GB2312" w:eastAsia="仿宋_GB2312" w:cs="仿宋_GB2312"/>
          <w:color w:val="auto"/>
          <w:sz w:val="30"/>
          <w:szCs w:val="30"/>
          <w:highlight w:val="none"/>
          <w:u w:val="single"/>
        </w:rPr>
        <w:t>非经委托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同意，咨询人不得擅自更换项目咨询团队其他咨询人员</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3.1.5委托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要求更换咨询人员的情形还包括：</w:t>
      </w:r>
      <w:r>
        <w:rPr>
          <w:rFonts w:hint="eastAsia" w:ascii="仿宋_GB2312" w:hAnsi="仿宋_GB2312" w:eastAsia="仿宋_GB2312" w:cs="仿宋_GB2312"/>
          <w:color w:val="auto"/>
          <w:sz w:val="30"/>
          <w:szCs w:val="30"/>
          <w:highlight w:val="none"/>
          <w:u w:val="single"/>
        </w:rPr>
        <w:t>当委托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认定咨询专业人员不按咨询合同履行其职责，或与第三人串通给委托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造成经济损失的，委托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有权要求更换咨询专业人员，咨询人不予更换的，构成违约。</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3.2咨询人的工作要求</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3.2.1咨询人向委托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提供有关资料的时间：</w:t>
      </w:r>
      <w:r>
        <w:rPr>
          <w:rFonts w:hint="eastAsia" w:ascii="仿宋_GB2312" w:hAnsi="仿宋_GB2312" w:eastAsia="仿宋_GB2312" w:cs="仿宋_GB2312"/>
          <w:color w:val="auto"/>
          <w:sz w:val="30"/>
          <w:szCs w:val="30"/>
          <w:highlight w:val="none"/>
          <w:u w:val="single"/>
        </w:rPr>
        <w:t>签订合同之日起两日内</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提供的资料还包括：</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3.2.2咨询人向委托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提供咨询成果文件的名称、组成、时间、份数及质量标准：按合同约定提交成果文件时间要求向委托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出具审核报告一式4份、电子档1份、刻录光盘1份</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包含但不限于工程量计价软件版、详细的计算式、广联达算量模型）</w:t>
      </w:r>
      <w:r>
        <w:rPr>
          <w:rFonts w:hint="eastAsia" w:ascii="仿宋_GB2312" w:hAnsi="仿宋_GB2312" w:eastAsia="仿宋_GB2312" w:cs="仿宋_GB2312"/>
          <w:color w:val="auto"/>
          <w:sz w:val="30"/>
          <w:szCs w:val="30"/>
          <w:highlight w:val="none"/>
        </w:rPr>
        <w:t>。工程量需要根据委托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提供的图纸及工程量清单规范等相关文件规定计算并列出详细计算式。</w:t>
      </w:r>
    </w:p>
    <w:p>
      <w:pPr>
        <w:pStyle w:val="6"/>
        <w:keepNext w:val="0"/>
        <w:keepLines w:val="0"/>
        <w:pageBreakBefore w:val="0"/>
        <w:widowControl w:val="0"/>
        <w:wordWrap/>
        <w:topLinePunct w:val="0"/>
        <w:autoSpaceDE/>
        <w:autoSpaceDN/>
        <w:bidi w:val="0"/>
        <w:adjustRightInd/>
        <w:spacing w:after="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3.2.3对于委托方提出需要以询价方式确定的材料价格，咨询人应提交至少三家供应商对应的材料价格，并加盖供应商公章。咨询人提交的每种材料价格少一家则扣除咨询费50元。</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咨询人应在收到委托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以书面形式提出的建议或者异议后</w:t>
      </w:r>
      <w:r>
        <w:rPr>
          <w:rFonts w:hint="eastAsia" w:ascii="仿宋_GB2312" w:hAnsi="仿宋_GB2312" w:eastAsia="仿宋_GB2312" w:cs="仿宋_GB2312"/>
          <w:color w:val="auto"/>
          <w:sz w:val="30"/>
          <w:szCs w:val="30"/>
          <w:highlight w:val="none"/>
          <w:u w:val="single"/>
        </w:rPr>
        <w:t xml:space="preserve"> 2 </w:t>
      </w:r>
      <w:r>
        <w:rPr>
          <w:rFonts w:hint="eastAsia" w:ascii="仿宋_GB2312" w:hAnsi="仿宋_GB2312" w:eastAsia="仿宋_GB2312" w:cs="仿宋_GB2312"/>
          <w:color w:val="auto"/>
          <w:sz w:val="30"/>
          <w:szCs w:val="30"/>
          <w:highlight w:val="none"/>
        </w:rPr>
        <w:t>日内给予书面答复。</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可根据项目实际情况，要求咨询人递交项目咨询的进度安排，咨询人应给予提供。</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3.3咨询人的工作依据</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经双方协商，本合同约定的造价咨询服务适用的技术标准、规范、定额等</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工作依据为：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3.4使用委托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房屋及设备的返还</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咨询人应在本合同终止后</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日内移交委托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提供的房屋及设备，移交的方式为：</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4.违约责任</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的违约责任</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4.1.1委托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违约金的计算及支付方法：</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4.1.2委托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赔偿金额按下列方法确定并支付：</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4.1.3委托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逾期付款利息按下列方法计算并支付：</w:t>
      </w:r>
      <w:r>
        <w:rPr>
          <w:rFonts w:hint="eastAsia" w:ascii="仿宋_GB2312" w:hAnsi="仿宋_GB2312" w:eastAsia="仿宋_GB2312" w:cs="仿宋_GB2312"/>
          <w:color w:val="auto"/>
          <w:sz w:val="30"/>
          <w:szCs w:val="30"/>
          <w:highlight w:val="none"/>
          <w:u w:val="single"/>
        </w:rPr>
        <w:t xml:space="preserve"> 每逾期一天，按应付未付金额的0.</w:t>
      </w:r>
      <w:r>
        <w:rPr>
          <w:rFonts w:hint="eastAsia" w:ascii="仿宋_GB2312" w:hAnsi="仿宋_GB2312" w:eastAsia="仿宋_GB2312" w:cs="仿宋_GB2312"/>
          <w:color w:val="auto"/>
          <w:sz w:val="30"/>
          <w:szCs w:val="30"/>
          <w:highlight w:val="none"/>
          <w:u w:val="single"/>
          <w:lang w:val="en-US" w:eastAsia="zh-CN"/>
        </w:rPr>
        <w:t>1</w:t>
      </w:r>
      <w:r>
        <w:rPr>
          <w:rFonts w:hint="eastAsia" w:ascii="仿宋_GB2312" w:hAnsi="仿宋_GB2312" w:eastAsia="仿宋_GB2312" w:cs="仿宋_GB2312"/>
          <w:color w:val="auto"/>
          <w:sz w:val="30"/>
          <w:szCs w:val="30"/>
          <w:highlight w:val="none"/>
          <w:u w:val="single"/>
        </w:rPr>
        <w:t xml:space="preserve">‰计算违约金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4.2咨询人的违约责任</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4.2.1咨询人违约金的计算及支付方法：</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（1）咨询人逾期提交成果文件的，每逾期一天，按合同总价的</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%计算违约金。超过规定时间 10个工作日以上的，委托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有权解除合同。</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（2）咨询人擅自更换咨询专业人员的，委托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有权对咨询人处3000元/人/次的违约金；咨询人拒绝更换3.1.4约定的咨询专业人员的，委托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有权解除合同，并有权不向咨询人支付酬金，不支付酬金的行为不构成违约。</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（3）咨询人提交的成果文件不符合相关法律法规、技术规范及标准文件规定及本合同约定要求的，咨询人应无条件返工，返工两次以上仍未达到要求的，委托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有权解除合同，并有权不向咨询人支付酬金，不支付酬金的行为不构成违约。</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（4）因咨询人原因给委托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造成损失的，咨询人应承担损失赔偿责任。</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（5）如咨询人初次提交的咨询成果文件与委托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或财政部门复审的审定的造价误差超过</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以上</w:t>
      </w:r>
      <w:r>
        <w:rPr>
          <w:rFonts w:hint="eastAsia" w:ascii="仿宋_GB2312" w:hAnsi="仿宋_GB2312" w:eastAsia="仿宋_GB2312" w:cs="仿宋_GB2312"/>
          <w:color w:val="auto"/>
          <w:sz w:val="30"/>
          <w:szCs w:val="30"/>
          <w:highlight w:val="none"/>
        </w:rPr>
        <w:t>时，视为咨询人违约，</w:t>
      </w:r>
      <w:r>
        <w:rPr>
          <w:rFonts w:hint="eastAsia" w:ascii="仿宋_GB2312" w:hAnsi="仿宋_GB2312" w:eastAsia="仿宋_GB2312" w:cs="仿宋_GB2312"/>
          <w:color w:val="auto"/>
          <w:sz w:val="30"/>
          <w:szCs w:val="30"/>
          <w:highlight w:val="none"/>
          <w:lang w:eastAsia="zh-CN"/>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有权解除合同，</w:t>
      </w:r>
      <w:r>
        <w:rPr>
          <w:rFonts w:hint="eastAsia" w:ascii="仿宋_GB2312" w:hAnsi="仿宋_GB2312" w:eastAsia="仿宋_GB2312" w:cs="仿宋_GB2312"/>
          <w:color w:val="auto"/>
          <w:sz w:val="30"/>
          <w:szCs w:val="30"/>
          <w:highlight w:val="none"/>
        </w:rPr>
        <w:t>咨询人须承担由此造成的全部经济损失和法律责任，委托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有权拒绝支付该项目的咨询费，已经支付的部分，咨询人应退回给委托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上述误差为因咨询人原因造成的质量偏差。</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（6）咨询人不能将本合同项下的工作进行分包、转包，如发现咨询人有分包、转包现象，委托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有权解除本合同并拒绝支付该项目的服务费，咨询人按合同总价的30%向委托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支付违约金，由咨询人承担委托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另行委托其他服务机构所产生的费用。</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4.2.2</w:t>
      </w:r>
      <w:r>
        <w:rPr>
          <w:rFonts w:hint="eastAsia" w:ascii="仿宋_GB2312" w:hAnsi="仿宋_GB2312" w:eastAsia="仿宋_GB2312" w:cs="仿宋_GB2312"/>
          <w:color w:val="auto"/>
          <w:kern w:val="0"/>
          <w:sz w:val="30"/>
          <w:szCs w:val="30"/>
          <w:highlight w:val="none"/>
        </w:rPr>
        <w:t>因咨询人违约，咨询人赔偿范围按下列方法确定：实际损失、间接损失（包括但不限于聘请第三方完成本合同约定工作所产生的费用、诉讼费、鉴定费、保全费、因保全产生的保全费及律师费等）</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5.服务费的预算与支付方式</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 咨询费支付：招标控制价审核完成，并通过</w:t>
      </w:r>
      <w:r>
        <w:rPr>
          <w:rFonts w:hint="eastAsia" w:ascii="仿宋_GB2312" w:hAnsi="仿宋_GB2312" w:eastAsia="仿宋_GB2312" w:cs="仿宋_GB2312"/>
          <w:color w:val="auto"/>
          <w:sz w:val="30"/>
          <w:szCs w:val="30"/>
          <w:highlight w:val="none"/>
          <w:lang w:eastAsia="zh-CN"/>
        </w:rPr>
        <w:t>财政评审中心或委托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lang w:eastAsia="zh-CN"/>
        </w:rPr>
        <w:t>认可</w:t>
      </w:r>
      <w:r>
        <w:rPr>
          <w:rFonts w:hint="eastAsia" w:ascii="仿宋_GB2312" w:hAnsi="仿宋_GB2312" w:eastAsia="仿宋_GB2312" w:cs="仿宋_GB2312"/>
          <w:color w:val="auto"/>
          <w:sz w:val="30"/>
          <w:szCs w:val="30"/>
          <w:highlight w:val="none"/>
        </w:rPr>
        <w:t>后，一次性支付合同总额的100%。款项支付前，咨询人应按照委托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的要求提交提供建设项目资金支出审批表、请款函、合同协议书及有效等额增值税专用发票，否则委托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 xml:space="preserve">有权拒绝支付。  </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2.合同履行期间，如成交咨询人存在违法行为，在监督管理部门调查期间、被行政处罚期间，委托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可视情况终止合同。涉及到所承接项目的咨询服务费，委托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可延期或拒绝支付服务费。</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3.所有费用由委托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转账至咨询人</w:t>
      </w:r>
      <w:r>
        <w:rPr>
          <w:rFonts w:hint="eastAsia" w:ascii="仿宋_GB2312" w:hAnsi="仿宋_GB2312" w:eastAsia="仿宋_GB2312" w:cs="仿宋_GB2312"/>
          <w:color w:val="auto"/>
          <w:sz w:val="30"/>
          <w:szCs w:val="30"/>
          <w:highlight w:val="none"/>
          <w:lang w:eastAsia="zh-CN"/>
        </w:rPr>
        <w:t>对公</w:t>
      </w:r>
      <w:r>
        <w:rPr>
          <w:rFonts w:hint="eastAsia" w:ascii="仿宋_GB2312" w:hAnsi="仿宋_GB2312" w:eastAsia="仿宋_GB2312" w:cs="仿宋_GB2312"/>
          <w:color w:val="auto"/>
          <w:sz w:val="30"/>
          <w:szCs w:val="30"/>
          <w:highlight w:val="none"/>
        </w:rPr>
        <w:t>账户。</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rPr>
        <w:t>开户名称：</w:t>
      </w:r>
      <w:r>
        <w:rPr>
          <w:rFonts w:hint="eastAsia" w:ascii="仿宋_GB2312" w:hAnsi="仿宋_GB2312" w:eastAsia="仿宋_GB2312" w:cs="仿宋_GB2312"/>
          <w:color w:val="auto"/>
          <w:sz w:val="30"/>
          <w:szCs w:val="30"/>
          <w:highlight w:val="none"/>
          <w:u w:val="single"/>
          <w:lang w:val="en-US" w:eastAsia="zh-CN"/>
        </w:rPr>
        <w:t xml:space="preserve">                            </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rPr>
        <w:t>开户银行：</w:t>
      </w:r>
      <w:r>
        <w:rPr>
          <w:rFonts w:hint="eastAsia" w:ascii="仿宋_GB2312" w:hAnsi="仿宋_GB2312" w:eastAsia="仿宋_GB2312" w:cs="仿宋_GB2312"/>
          <w:color w:val="auto"/>
          <w:sz w:val="30"/>
          <w:szCs w:val="30"/>
          <w:highlight w:val="none"/>
          <w:u w:val="single"/>
          <w:lang w:val="en-US" w:eastAsia="zh-CN"/>
        </w:rPr>
        <w:t xml:space="preserve">                                   </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账    号：</w:t>
      </w:r>
      <w:r>
        <w:rPr>
          <w:rFonts w:hint="eastAsia" w:ascii="仿宋_GB2312" w:hAnsi="仿宋_GB2312" w:eastAsia="仿宋_GB2312" w:cs="仿宋_GB2312"/>
          <w:color w:val="auto"/>
          <w:sz w:val="30"/>
          <w:szCs w:val="30"/>
          <w:highlight w:val="none"/>
          <w:u w:val="single"/>
          <w:lang w:val="en-US" w:eastAsia="zh-CN"/>
        </w:rPr>
        <w:t xml:space="preserve">                          </w:t>
      </w:r>
    </w:p>
    <w:p>
      <w:pPr>
        <w:keepNext w:val="0"/>
        <w:keepLines w:val="0"/>
        <w:pageBreakBefore w:val="0"/>
        <w:widowControl w:val="0"/>
        <w:wordWrap/>
        <w:topLinePunct w:val="0"/>
        <w:autoSpaceDE/>
        <w:autoSpaceDN/>
        <w:bidi w:val="0"/>
        <w:adjustRightInd/>
        <w:spacing w:line="520" w:lineRule="exact"/>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6.合同变更、解除与终止</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6.1合同变更</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6.1.2除不可抗力外，因非咨询人原因导致本合同履行期限延长、内容增加时，附加工作酬金按下列方法确定：</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6.2合同解除</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6.2.2双方约定解除合同的条件还包括：</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6.2.4因不可抗力导致的合同解除，双方约定损失的分担如下：</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textAlignment w:val="auto"/>
        <w:outlineLvl w:val="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7.争议解决</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7.2调解</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如果双方不能在</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日内解决本合同争议，可以将其提交</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进行调解。</w:t>
      </w:r>
    </w:p>
    <w:p>
      <w:pPr>
        <w:keepNext w:val="0"/>
        <w:keepLines w:val="0"/>
        <w:pageBreakBefore w:val="0"/>
        <w:widowControl w:val="0"/>
        <w:wordWrap/>
        <w:topLinePunct w:val="0"/>
        <w:autoSpaceDE/>
        <w:autoSpaceDN/>
        <w:bidi w:val="0"/>
        <w:adjustRightInd/>
        <w:spacing w:line="520" w:lineRule="exact"/>
        <w:ind w:firstLine="600"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7.3仲裁或诉讼</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合同争议的最终解决方式为下列第</w:t>
      </w:r>
      <w:r>
        <w:rPr>
          <w:rFonts w:hint="eastAsia" w:ascii="仿宋_GB2312" w:hAnsi="仿宋_GB2312" w:eastAsia="仿宋_GB2312" w:cs="仿宋_GB2312"/>
          <w:color w:val="auto"/>
          <w:sz w:val="30"/>
          <w:szCs w:val="30"/>
          <w:highlight w:val="none"/>
          <w:u w:val="single"/>
        </w:rPr>
        <w:t xml:space="preserve">   （2）   </w:t>
      </w:r>
      <w:r>
        <w:rPr>
          <w:rFonts w:hint="eastAsia" w:ascii="仿宋_GB2312" w:hAnsi="仿宋_GB2312" w:eastAsia="仿宋_GB2312" w:cs="仿宋_GB2312"/>
          <w:color w:val="auto"/>
          <w:sz w:val="30"/>
          <w:szCs w:val="30"/>
          <w:highlight w:val="none"/>
        </w:rPr>
        <w:t>种方式：</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（1）提请 </w:t>
      </w: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仲裁委员会进行仲裁。</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（2）向</w:t>
      </w:r>
      <w:r>
        <w:rPr>
          <w:rFonts w:hint="eastAsia" w:ascii="仿宋_GB2312" w:hAnsi="仿宋_GB2312" w:eastAsia="仿宋_GB2312" w:cs="仿宋_GB2312"/>
          <w:color w:val="auto"/>
          <w:sz w:val="30"/>
          <w:szCs w:val="30"/>
          <w:highlight w:val="none"/>
          <w:u w:val="single"/>
        </w:rPr>
        <w:t>项目所在地</w:t>
      </w:r>
      <w:r>
        <w:rPr>
          <w:rFonts w:hint="eastAsia" w:ascii="仿宋_GB2312" w:hAnsi="仿宋_GB2312" w:eastAsia="仿宋_GB2312" w:cs="仿宋_GB2312"/>
          <w:color w:val="auto"/>
          <w:sz w:val="30"/>
          <w:szCs w:val="30"/>
          <w:highlight w:val="none"/>
        </w:rPr>
        <w:t>人民法院提起诉讼。</w:t>
      </w:r>
    </w:p>
    <w:p>
      <w:pPr>
        <w:keepNext w:val="0"/>
        <w:keepLines w:val="0"/>
        <w:pageBreakBefore w:val="0"/>
        <w:widowControl w:val="0"/>
        <w:wordWrap/>
        <w:topLinePunct w:val="0"/>
        <w:autoSpaceDE/>
        <w:autoSpaceDN/>
        <w:bidi w:val="0"/>
        <w:adjustRightInd/>
        <w:spacing w:line="520" w:lineRule="exact"/>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8.其他</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8.1 考察及相关费用：咨询人经委托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同意进行考察发生的费用由</w:t>
      </w:r>
      <w:r>
        <w:rPr>
          <w:rFonts w:hint="eastAsia" w:ascii="仿宋_GB2312" w:hAnsi="仿宋_GB2312" w:eastAsia="仿宋_GB2312" w:cs="仿宋_GB2312"/>
          <w:color w:val="auto"/>
          <w:sz w:val="30"/>
          <w:szCs w:val="30"/>
          <w:highlight w:val="none"/>
          <w:u w:val="single"/>
        </w:rPr>
        <w:t>咨询人</w:t>
      </w:r>
      <w:r>
        <w:rPr>
          <w:rFonts w:hint="eastAsia" w:ascii="仿宋_GB2312" w:hAnsi="仿宋_GB2312" w:eastAsia="仿宋_GB2312" w:cs="仿宋_GB2312"/>
          <w:color w:val="auto"/>
          <w:sz w:val="30"/>
          <w:szCs w:val="30"/>
          <w:highlight w:val="none"/>
        </w:rPr>
        <w:t>支付。差旅费及相关费用的支付：</w:t>
      </w:r>
      <w:bookmarkStart w:id="0" w:name="bookmark23"/>
      <w:bookmarkEnd w:id="0"/>
      <w:r>
        <w:rPr>
          <w:rFonts w:hint="eastAsia" w:ascii="仿宋_GB2312" w:hAnsi="仿宋_GB2312" w:eastAsia="仿宋_GB2312" w:cs="仿宋_GB2312"/>
          <w:color w:val="auto"/>
          <w:sz w:val="30"/>
          <w:szCs w:val="30"/>
          <w:highlight w:val="none"/>
          <w:u w:val="single"/>
        </w:rPr>
        <w:t>由咨询人承担</w:t>
      </w:r>
      <w:r>
        <w:rPr>
          <w:rFonts w:hint="eastAsia" w:ascii="仿宋_GB2312" w:hAnsi="仿宋_GB2312" w:eastAsia="仿宋_GB2312" w:cs="仿宋_GB2312"/>
          <w:color w:val="auto"/>
          <w:sz w:val="30"/>
          <w:szCs w:val="30"/>
          <w:highlight w:val="none"/>
        </w:rPr>
        <w:t>。</w:t>
      </w:r>
    </w:p>
    <w:p>
      <w:pPr>
        <w:pStyle w:val="6"/>
        <w:keepNext w:val="0"/>
        <w:keepLines w:val="0"/>
        <w:pageBreakBefore w:val="0"/>
        <w:widowControl w:val="0"/>
        <w:tabs>
          <w:tab w:val="left" w:pos="8039"/>
        </w:tabs>
        <w:kinsoku w:val="0"/>
        <w:wordWrap/>
        <w:overflowPunct w:val="0"/>
        <w:topLinePunct w:val="0"/>
        <w:autoSpaceDE/>
        <w:autoSpaceDN/>
        <w:bidi w:val="0"/>
        <w:adjustRightInd/>
        <w:spacing w:after="0" w:line="52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8.2</w:t>
      </w:r>
      <w:r>
        <w:rPr>
          <w:rFonts w:hint="eastAsia" w:ascii="仿宋_GB2312" w:hAnsi="仿宋_GB2312" w:eastAsia="仿宋_GB2312" w:cs="仿宋_GB2312"/>
          <w:color w:val="auto"/>
          <w:spacing w:val="-60"/>
          <w:sz w:val="30"/>
          <w:szCs w:val="30"/>
          <w:highlight w:val="none"/>
        </w:rPr>
        <w:t xml:space="preserve"> </w:t>
      </w:r>
      <w:r>
        <w:rPr>
          <w:rFonts w:hint="eastAsia" w:ascii="仿宋_GB2312" w:hAnsi="仿宋_GB2312" w:eastAsia="仿宋_GB2312" w:cs="仿宋_GB2312"/>
          <w:color w:val="auto"/>
          <w:sz w:val="30"/>
          <w:szCs w:val="30"/>
          <w:highlight w:val="none"/>
        </w:rPr>
        <w:t>联络</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8.2.1 任何一方与合同有关的通知、指示、要求、决定等，均应在 7日内送达对方指定的接收人和送达地点。</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8.2.2 </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指定的送达接收人：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。送达地点：</w:t>
      </w:r>
      <w:r>
        <w:rPr>
          <w:rFonts w:hint="eastAsia" w:ascii="仿宋_GB2312" w:hAnsi="仿宋_GB2312" w:eastAsia="仿宋_GB2312" w:cs="仿宋_GB2312"/>
          <w:color w:val="auto"/>
          <w:sz w:val="30"/>
          <w:szCs w:val="30"/>
          <w:highlight w:val="none"/>
          <w:u w:val="single"/>
        </w:rPr>
        <w:t>河池市</w:t>
      </w:r>
      <w:r>
        <w:rPr>
          <w:rFonts w:hint="eastAsia" w:ascii="仿宋_GB2312" w:hAnsi="仿宋_GB2312" w:eastAsia="仿宋_GB2312" w:cs="仿宋_GB2312"/>
          <w:color w:val="auto"/>
          <w:sz w:val="30"/>
          <w:szCs w:val="30"/>
          <w:highlight w:val="none"/>
          <w:u w:val="single"/>
          <w:lang w:val="en-US" w:eastAsia="zh-CN"/>
        </w:rPr>
        <w:t>宜州</w:t>
      </w:r>
      <w:r>
        <w:rPr>
          <w:rFonts w:hint="eastAsia" w:ascii="仿宋_GB2312" w:hAnsi="仿宋_GB2312" w:eastAsia="仿宋_GB2312" w:cs="仿宋_GB2312"/>
          <w:color w:val="auto"/>
          <w:sz w:val="30"/>
          <w:szCs w:val="30"/>
          <w:highlight w:val="none"/>
          <w:u w:val="single"/>
        </w:rPr>
        <w:t>区</w:t>
      </w:r>
      <w:r>
        <w:rPr>
          <w:rFonts w:hint="eastAsia" w:ascii="仿宋_GB2312" w:hAnsi="仿宋_GB2312" w:eastAsia="仿宋_GB2312" w:cs="仿宋_GB2312"/>
          <w:color w:val="auto"/>
          <w:sz w:val="30"/>
          <w:szCs w:val="30"/>
          <w:highlight w:val="none"/>
          <w:u w:val="single"/>
          <w:lang w:val="en-US" w:eastAsia="zh-CN"/>
        </w:rPr>
        <w:t>山谷</w:t>
      </w:r>
      <w:r>
        <w:rPr>
          <w:rFonts w:hint="eastAsia" w:ascii="仿宋_GB2312" w:hAnsi="仿宋_GB2312" w:eastAsia="仿宋_GB2312" w:cs="仿宋_GB2312"/>
          <w:color w:val="auto"/>
          <w:sz w:val="30"/>
          <w:szCs w:val="30"/>
          <w:highlight w:val="none"/>
          <w:u w:val="single"/>
        </w:rPr>
        <w:t>路</w:t>
      </w:r>
      <w:r>
        <w:rPr>
          <w:rFonts w:hint="eastAsia" w:ascii="仿宋_GB2312" w:hAnsi="仿宋_GB2312" w:eastAsia="仿宋_GB2312" w:cs="仿宋_GB2312"/>
          <w:color w:val="auto"/>
          <w:sz w:val="30"/>
          <w:szCs w:val="30"/>
          <w:highlight w:val="none"/>
          <w:u w:val="single"/>
          <w:lang w:val="en-US" w:eastAsia="zh-CN"/>
        </w:rPr>
        <w:t>84</w:t>
      </w:r>
      <w:r>
        <w:rPr>
          <w:rFonts w:hint="eastAsia" w:ascii="仿宋_GB2312" w:hAnsi="仿宋_GB2312" w:eastAsia="仿宋_GB2312" w:cs="仿宋_GB2312"/>
          <w:color w:val="auto"/>
          <w:sz w:val="30"/>
          <w:szCs w:val="30"/>
          <w:highlight w:val="none"/>
          <w:u w:val="single"/>
        </w:rPr>
        <w:t xml:space="preserve">号  </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电子邮箱：</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咨询人指定的送达接收人：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，送达地点：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，电子邮箱：</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8.5知识产权</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提供给咨询人的图纸、委托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为实施工程自行编制或委托编制的技术规范以及反映委托</w:t>
      </w:r>
      <w:r>
        <w:rPr>
          <w:rFonts w:hint="eastAsia" w:ascii="仿宋_GB2312" w:hAnsi="仿宋_GB2312" w:eastAsia="仿宋_GB2312" w:cs="仿宋_GB2312"/>
          <w:color w:val="auto"/>
          <w:sz w:val="30"/>
          <w:szCs w:val="30"/>
          <w:highlight w:val="none"/>
          <w:lang w:val="en-US" w:eastAsia="zh-CN"/>
        </w:rPr>
        <w:t>方</w:t>
      </w:r>
      <w:r>
        <w:rPr>
          <w:rFonts w:hint="eastAsia" w:ascii="仿宋_GB2312" w:hAnsi="仿宋_GB2312" w:eastAsia="仿宋_GB2312" w:cs="仿宋_GB2312"/>
          <w:color w:val="auto"/>
          <w:sz w:val="30"/>
          <w:szCs w:val="30"/>
          <w:highlight w:val="none"/>
        </w:rPr>
        <w:t>要求的或其他类似性质文件的著作权属于</w:t>
      </w:r>
      <w:r>
        <w:rPr>
          <w:rFonts w:hint="eastAsia" w:ascii="仿宋_GB2312" w:hAnsi="仿宋_GB2312" w:eastAsia="仿宋_GB2312" w:cs="仿宋_GB2312"/>
          <w:color w:val="auto"/>
          <w:sz w:val="30"/>
          <w:szCs w:val="30"/>
          <w:highlight w:val="none"/>
          <w:u w:val="single"/>
        </w:rPr>
        <w:t>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rPr>
        <w:t xml:space="preserve">。 </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咨询人为履行本合同约定而编制的成果文件，其著作权属于</w:t>
      </w:r>
      <w:r>
        <w:rPr>
          <w:rFonts w:hint="eastAsia" w:ascii="仿宋_GB2312" w:hAnsi="仿宋_GB2312" w:eastAsia="仿宋_GB2312" w:cs="仿宋_GB2312"/>
          <w:color w:val="auto"/>
          <w:sz w:val="30"/>
          <w:szCs w:val="30"/>
          <w:highlight w:val="none"/>
          <w:u w:val="single"/>
        </w:rPr>
        <w:t xml:space="preserve"> 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双方将履行本合同形成的有关成果文件用于企业宣传、申报奖项以及接受上级主管部门的检查须遵守以下约定：</w:t>
      </w:r>
      <w:r>
        <w:rPr>
          <w:rFonts w:hint="eastAsia" w:ascii="仿宋_GB2312" w:hAnsi="仿宋_GB2312" w:eastAsia="仿宋_GB2312" w:cs="仿宋_GB2312"/>
          <w:color w:val="auto"/>
          <w:sz w:val="30"/>
          <w:szCs w:val="30"/>
          <w:highlight w:val="none"/>
          <w:u w:val="single"/>
        </w:rPr>
        <w:t>咨询人将履行本合同形成的有关成果文件用于企业宣传、申报奖项以接受上级主管部门的检查应经过委托</w:t>
      </w:r>
      <w:r>
        <w:rPr>
          <w:rFonts w:hint="eastAsia" w:ascii="仿宋_GB2312" w:hAnsi="仿宋_GB2312" w:eastAsia="仿宋_GB2312" w:cs="仿宋_GB2312"/>
          <w:color w:val="auto"/>
          <w:sz w:val="30"/>
          <w:szCs w:val="30"/>
          <w:highlight w:val="none"/>
          <w:u w:val="single"/>
          <w:lang w:val="en-US" w:eastAsia="zh-CN"/>
        </w:rPr>
        <w:t>方</w:t>
      </w:r>
      <w:r>
        <w:rPr>
          <w:rFonts w:hint="eastAsia" w:ascii="仿宋_GB2312" w:hAnsi="仿宋_GB2312" w:eastAsia="仿宋_GB2312" w:cs="仿宋_GB2312"/>
          <w:color w:val="auto"/>
          <w:sz w:val="30"/>
          <w:szCs w:val="30"/>
          <w:highlight w:val="none"/>
          <w:u w:val="single"/>
        </w:rPr>
        <w:t>同意</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rPr>
        <w:tab/>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9.补充条款</w:t>
      </w:r>
    </w:p>
    <w:p>
      <w:pPr>
        <w:keepNext w:val="0"/>
        <w:keepLines w:val="0"/>
        <w:pageBreakBefore w:val="0"/>
        <w:widowControl w:val="0"/>
        <w:wordWrap/>
        <w:topLinePunct w:val="0"/>
        <w:autoSpaceDE/>
        <w:autoSpaceDN/>
        <w:bidi w:val="0"/>
        <w:adjustRightIn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      </w:t>
      </w:r>
      <w:r>
        <w:rPr>
          <w:rFonts w:hint="eastAsia" w:ascii="仿宋_GB2312" w:hAnsi="仿宋_GB2312" w:eastAsia="仿宋_GB2312" w:cs="仿宋_GB2312"/>
          <w:color w:val="auto"/>
          <w:sz w:val="30"/>
          <w:szCs w:val="30"/>
          <w:highlight w:val="none"/>
        </w:rPr>
        <w:t xml:space="preserve"> 。</w:t>
      </w: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7"/>
        <w:spacing w:line="480" w:lineRule="exact"/>
        <w:jc w:val="center"/>
        <w:rPr>
          <w:rStyle w:val="11"/>
          <w:rFonts w:hint="eastAsia" w:ascii="宋体" w:hAnsi="宋体" w:eastAsia="宋体" w:cs="Times New Roman"/>
          <w:b/>
          <w:bCs/>
          <w:color w:val="auto"/>
          <w:kern w:val="44"/>
          <w:sz w:val="32"/>
          <w:szCs w:val="32"/>
          <w:highlight w:val="none"/>
        </w:rPr>
      </w:pPr>
      <w:r>
        <w:rPr>
          <w:rStyle w:val="11"/>
          <w:rFonts w:hint="eastAsia" w:ascii="宋体" w:hAnsi="宋体" w:eastAsia="宋体" w:cs="Times New Roman"/>
          <w:b/>
          <w:bCs/>
          <w:color w:val="auto"/>
          <w:kern w:val="44"/>
          <w:sz w:val="32"/>
          <w:szCs w:val="32"/>
          <w:highlight w:val="none"/>
        </w:rPr>
        <w:t>廉政合同</w:t>
      </w:r>
    </w:p>
    <w:p>
      <w:pPr>
        <w:pStyle w:val="18"/>
        <w:rPr>
          <w:rFonts w:hint="eastAsia"/>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根据有关工程建设、廉政建设的规定，为做好工程建设中的党风廉政建设，保证工程建设高效优质，保证建设资金的安全和有效使用以及投资效益，</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河池市</w:t>
      </w:r>
      <w:r>
        <w:rPr>
          <w:rFonts w:hint="eastAsia" w:ascii="仿宋" w:hAnsi="仿宋" w:eastAsia="仿宋" w:cs="仿宋"/>
          <w:color w:val="auto"/>
          <w:sz w:val="30"/>
          <w:szCs w:val="30"/>
          <w:highlight w:val="none"/>
          <w:u w:val="single"/>
          <w:lang w:val="en-US" w:eastAsia="zh-CN"/>
        </w:rPr>
        <w:t>金峰</w:t>
      </w:r>
      <w:r>
        <w:rPr>
          <w:rFonts w:hint="eastAsia" w:ascii="仿宋" w:hAnsi="仿宋" w:eastAsia="仿宋" w:cs="仿宋"/>
          <w:color w:val="auto"/>
          <w:sz w:val="30"/>
          <w:szCs w:val="30"/>
          <w:highlight w:val="none"/>
          <w:u w:val="single"/>
          <w:lang w:eastAsia="zh-CN"/>
        </w:rPr>
        <w:t>投资</w:t>
      </w:r>
      <w:r>
        <w:rPr>
          <w:rFonts w:hint="eastAsia" w:ascii="仿宋" w:hAnsi="仿宋" w:eastAsia="仿宋" w:cs="仿宋"/>
          <w:color w:val="auto"/>
          <w:sz w:val="30"/>
          <w:szCs w:val="30"/>
          <w:highlight w:val="none"/>
          <w:u w:val="single"/>
          <w:lang w:val="en-US" w:eastAsia="zh-CN"/>
        </w:rPr>
        <w:t>开发</w:t>
      </w:r>
      <w:r>
        <w:rPr>
          <w:rFonts w:hint="eastAsia" w:ascii="仿宋" w:hAnsi="仿宋" w:eastAsia="仿宋" w:cs="仿宋"/>
          <w:color w:val="auto"/>
          <w:sz w:val="30"/>
          <w:szCs w:val="30"/>
          <w:highlight w:val="none"/>
          <w:u w:val="single"/>
          <w:lang w:eastAsia="zh-CN"/>
        </w:rPr>
        <w:t>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（以下简称:</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）为一方与另一方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（以下称</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），特订立如下合同。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1.双方的权利和义务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（1）严格遵守党和国家有关法律法规及住房和城乡建设部部的有关规定。</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（2）严格执行</w:t>
      </w:r>
      <w:r>
        <w:rPr>
          <w:rFonts w:hint="eastAsia" w:ascii="仿宋" w:hAnsi="仿宋" w:eastAsia="仿宋" w:cs="仿宋"/>
          <w:color w:val="auto"/>
          <w:sz w:val="30"/>
          <w:szCs w:val="30"/>
          <w:highlight w:val="none"/>
          <w:lang w:val="en-US" w:eastAsia="zh-CN"/>
        </w:rPr>
        <w:t>河池市宜州区北山镇规模化供水工程项目管网配套设施工程</w:t>
      </w:r>
      <w:r>
        <w:rPr>
          <w:rFonts w:hint="eastAsia" w:ascii="仿宋" w:hAnsi="仿宋" w:eastAsia="仿宋" w:cs="仿宋"/>
          <w:color w:val="auto"/>
          <w:sz w:val="30"/>
          <w:szCs w:val="30"/>
          <w:highlight w:val="none"/>
          <w:lang w:eastAsia="zh-CN"/>
        </w:rPr>
        <w:t>项目合同</w:t>
      </w:r>
      <w:r>
        <w:rPr>
          <w:rFonts w:hint="eastAsia" w:ascii="仿宋" w:hAnsi="仿宋" w:eastAsia="仿宋" w:cs="仿宋"/>
          <w:color w:val="auto"/>
          <w:sz w:val="30"/>
          <w:szCs w:val="30"/>
          <w:highlight w:val="none"/>
        </w:rPr>
        <w:t>文件，自觉按合同办事。</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（3）双方的业务活动坚持公开、公正、诚信、透明的原则（除法律认定的商业秘密和合同文件另有规定之外），不得损害国家和集体利益，违反工程建设管理规章制度。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（4）建立健全廉政制度，开展廉政教育，设立廉政告示牌，公布举报电话，监督并认真查处违法违纪行为。</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（5）发现对方在业务活动中有违反廉政规定的行为，有及时提醒对方纠正的权利和义务。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（6）发现对方严重违反本合同义务条款的行为，有向其上级有关部门举报、建议给予处理并要求告知处理结果的权利。</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的义务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及其工作人员不得索要或接受</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的礼金、有价证券和贵重物品，不得让</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报销任何应由</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或个人支付的费用等。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工作人员不得参加</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安排的超标准宴请和娱乐活动；不得接受</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提供的通讯工具、交通工具和高档办公用品等。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及其工作人员不得要求或者接受</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为其住房装修、婚丧嫁娶活动、配偶子女的工作安排以及出国出境、旅游等提供方便等。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不得以任何理由向</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及其工作人员行贿或馈赠礼金、有价证券、贵重礼品。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不得以任何名义为</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及其工作人员报销应由</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或个人支付的任何费用。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不得以任何理由安排</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工作人员参加超标准宴请及娱乐活动。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不得为</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和个人购置或提供通讯工具、交通工具和高档办公用品等。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4.违约责任</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及其工作人员违反本合同第一、二条，按管理权限，依据有关规定给予党纪、政纪处分或组织处理；涉嫌犯罪的，移交司法机关追究刑事责任；给</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造成经济损失的，应予以赔偿。</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及其工作人员违反本合同第一、三条，按管理权限，依据有关规定给予党纪、政纪处分或组织处理；给</w:t>
      </w:r>
      <w:r>
        <w:rPr>
          <w:rFonts w:hint="eastAsia" w:ascii="仿宋" w:hAnsi="仿宋" w:eastAsia="仿宋" w:cs="仿宋"/>
          <w:color w:val="auto"/>
          <w:sz w:val="30"/>
          <w:szCs w:val="30"/>
          <w:highlight w:val="none"/>
          <w:lang w:val="en-US" w:eastAsia="zh-CN"/>
        </w:rPr>
        <w:t>委托方</w:t>
      </w:r>
      <w:r>
        <w:rPr>
          <w:rFonts w:hint="eastAsia" w:ascii="仿宋" w:hAnsi="仿宋" w:eastAsia="仿宋" w:cs="仿宋"/>
          <w:color w:val="auto"/>
          <w:sz w:val="30"/>
          <w:szCs w:val="30"/>
          <w:highlight w:val="none"/>
        </w:rPr>
        <w:t>造成经济损失的，应予以赔偿；情节严重的，</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建议住房和城乡建设部给予</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一至三年内不得进入其主管的工程建设市场的处罚。</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5.双方约定：本合同由双方或双方上级单位的纪检监察机关负责监督。由</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上级单位的纪检监察机关约请</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上级单位纪检监察机关对本合同履行情况进行检查，提出在本合同规定范围内的裁定意见。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6.本合同有效期限为双方签署之日起至</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rPr>
        <w:t>合同失效日止。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7.本合同作为</w:t>
      </w:r>
      <w:r>
        <w:rPr>
          <w:rFonts w:hint="eastAsia" w:ascii="仿宋" w:hAnsi="仿宋" w:eastAsia="仿宋" w:cs="仿宋"/>
          <w:color w:val="auto"/>
          <w:sz w:val="30"/>
          <w:szCs w:val="30"/>
          <w:highlight w:val="none"/>
          <w:lang w:val="en-US" w:eastAsia="zh-CN"/>
        </w:rPr>
        <w:t>河池市宜州区北山镇规模化供水工程项目管网配套设施工程</w:t>
      </w:r>
      <w:r>
        <w:rPr>
          <w:rFonts w:hint="eastAsia" w:ascii="仿宋" w:hAnsi="仿宋" w:eastAsia="仿宋" w:cs="仿宋"/>
          <w:color w:val="auto"/>
          <w:sz w:val="30"/>
          <w:szCs w:val="30"/>
          <w:highlight w:val="none"/>
          <w:lang w:eastAsia="zh-CN"/>
        </w:rPr>
        <w:t>项目合同</w:t>
      </w:r>
      <w:r>
        <w:rPr>
          <w:rFonts w:hint="eastAsia" w:ascii="仿宋" w:hAnsi="仿宋" w:eastAsia="仿宋" w:cs="仿宋"/>
          <w:color w:val="auto"/>
          <w:sz w:val="30"/>
          <w:szCs w:val="30"/>
          <w:highlight w:val="none"/>
        </w:rPr>
        <w:t>的附件，与</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rPr>
        <w:t>合同具有同等的法律效力，经合同双方代表签字、加盖公章后生效。</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rPr>
        <w:t>8.本协议书一式</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份，均具有同等法律效力，</w:t>
      </w:r>
      <w:r>
        <w:rPr>
          <w:rFonts w:hint="eastAsia" w:ascii="仿宋" w:hAnsi="仿宋" w:eastAsia="仿宋" w:cs="仿宋"/>
          <w:color w:val="auto"/>
          <w:sz w:val="30"/>
          <w:szCs w:val="30"/>
          <w:highlight w:val="none"/>
          <w:lang w:val="en-US" w:eastAsia="zh-CN"/>
        </w:rPr>
        <w:t>委托</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执</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份，</w:t>
      </w:r>
      <w:r>
        <w:rPr>
          <w:rFonts w:hint="eastAsia" w:ascii="仿宋" w:hAnsi="仿宋" w:eastAsia="仿宋" w:cs="仿宋"/>
          <w:color w:val="auto"/>
          <w:sz w:val="30"/>
          <w:szCs w:val="30"/>
          <w:highlight w:val="none"/>
          <w:lang w:val="en-US" w:eastAsia="zh-CN"/>
        </w:rPr>
        <w:t>咨询人</w:t>
      </w:r>
      <w:r>
        <w:rPr>
          <w:rFonts w:hint="eastAsia" w:ascii="仿宋" w:hAnsi="仿宋" w:eastAsia="仿宋" w:cs="仿宋"/>
          <w:color w:val="auto"/>
          <w:sz w:val="30"/>
          <w:szCs w:val="30"/>
          <w:highlight w:val="none"/>
        </w:rPr>
        <w:t>执2份。</w:t>
      </w:r>
    </w:p>
    <w:tbl>
      <w:tblPr>
        <w:tblStyle w:val="10"/>
        <w:tblW w:w="9004" w:type="dxa"/>
        <w:jc w:val="center"/>
        <w:tblLayout w:type="fixed"/>
        <w:tblCellMar>
          <w:top w:w="0" w:type="dxa"/>
          <w:left w:w="108" w:type="dxa"/>
          <w:bottom w:w="0" w:type="dxa"/>
          <w:right w:w="108" w:type="dxa"/>
        </w:tblCellMar>
      </w:tblPr>
      <w:tblGrid>
        <w:gridCol w:w="4503"/>
        <w:gridCol w:w="4501"/>
      </w:tblGrid>
      <w:tr>
        <w:tblPrEx>
          <w:tblCellMar>
            <w:top w:w="0" w:type="dxa"/>
            <w:left w:w="108" w:type="dxa"/>
            <w:bottom w:w="0" w:type="dxa"/>
            <w:right w:w="108" w:type="dxa"/>
          </w:tblCellMar>
        </w:tblPrEx>
        <w:trPr>
          <w:trHeight w:val="1279"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河池市金峰投资开发有限公司</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人(盖章)：</w:t>
            </w:r>
          </w:p>
        </w:tc>
      </w:tr>
      <w:tr>
        <w:tblPrEx>
          <w:tblCellMar>
            <w:top w:w="0" w:type="dxa"/>
            <w:left w:w="108" w:type="dxa"/>
            <w:bottom w:w="0" w:type="dxa"/>
            <w:right w:w="108" w:type="dxa"/>
          </w:tblCellMar>
        </w:tblPrEx>
        <w:trPr>
          <w:trHeight w:val="1149"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p>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授权代理人(签字或盖章)：</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p>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授权代理人(签字或盖章)：</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经办人：</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0"/>
                <w:sz w:val="24"/>
                <w:szCs w:val="24"/>
                <w:highlight w:val="none"/>
              </w:rPr>
              <w:t>河池市</w:t>
            </w:r>
            <w:r>
              <w:rPr>
                <w:rFonts w:hint="eastAsia" w:ascii="宋体" w:hAnsi="宋体" w:eastAsia="宋体" w:cs="宋体"/>
                <w:color w:val="auto"/>
                <w:kern w:val="0"/>
                <w:sz w:val="24"/>
                <w:szCs w:val="24"/>
                <w:highlight w:val="none"/>
                <w:lang w:val="en-US" w:eastAsia="zh-CN"/>
              </w:rPr>
              <w:t>宜州</w:t>
            </w:r>
            <w:r>
              <w:rPr>
                <w:rFonts w:hint="eastAsia" w:ascii="宋体" w:hAnsi="宋体" w:eastAsia="宋体" w:cs="宋体"/>
                <w:color w:val="auto"/>
                <w:kern w:val="0"/>
                <w:sz w:val="24"/>
                <w:szCs w:val="24"/>
                <w:highlight w:val="none"/>
              </w:rPr>
              <w:t>区</w:t>
            </w:r>
            <w:r>
              <w:rPr>
                <w:rFonts w:hint="eastAsia" w:ascii="宋体" w:hAnsi="宋体" w:eastAsia="宋体" w:cs="宋体"/>
                <w:color w:val="auto"/>
                <w:kern w:val="0"/>
                <w:sz w:val="24"/>
                <w:szCs w:val="24"/>
                <w:highlight w:val="none"/>
                <w:lang w:val="en-US" w:eastAsia="zh-CN"/>
              </w:rPr>
              <w:t>山谷</w:t>
            </w:r>
            <w:r>
              <w:rPr>
                <w:rFonts w:hint="eastAsia" w:ascii="宋体" w:hAnsi="宋体" w:eastAsia="宋体" w:cs="宋体"/>
                <w:color w:val="auto"/>
                <w:kern w:val="0"/>
                <w:sz w:val="24"/>
                <w:szCs w:val="24"/>
                <w:highlight w:val="none"/>
              </w:rPr>
              <w:t>路</w:t>
            </w:r>
            <w:r>
              <w:rPr>
                <w:rFonts w:hint="eastAsia" w:ascii="宋体" w:hAnsi="宋体" w:eastAsia="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rPr>
              <w:t xml:space="preserve">号 </w:t>
            </w:r>
            <w:r>
              <w:rPr>
                <w:rFonts w:hint="eastAsia" w:ascii="宋体" w:hAnsi="宋体" w:eastAsia="宋体" w:cs="宋体"/>
                <w:color w:val="auto"/>
                <w:sz w:val="24"/>
                <w:szCs w:val="24"/>
                <w:highlight w:val="none"/>
              </w:rPr>
              <w:t xml:space="preserve"> </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CellMar>
            <w:top w:w="0" w:type="dxa"/>
            <w:left w:w="108" w:type="dxa"/>
            <w:bottom w:w="0" w:type="dxa"/>
            <w:right w:w="108" w:type="dxa"/>
          </w:tblCellMar>
        </w:tblPrEx>
        <w:trPr>
          <w:trHeight w:val="1028"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Arial"/>
                <w:color w:val="auto"/>
                <w:kern w:val="0"/>
                <w:sz w:val="24"/>
                <w:szCs w:val="24"/>
                <w:highlight w:val="none"/>
                <w:lang w:val="en-US" w:eastAsia="zh-CN"/>
              </w:rPr>
              <w:t>农行河池市宜州支行</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 xml:space="preserve">    号： </w:t>
            </w:r>
            <w:r>
              <w:rPr>
                <w:rFonts w:hint="eastAsia" w:ascii="宋体" w:hAnsi="宋体" w:cs="Arial"/>
                <w:color w:val="auto"/>
                <w:kern w:val="0"/>
                <w:sz w:val="24"/>
                <w:szCs w:val="24"/>
                <w:highlight w:val="none"/>
                <w:lang w:val="en-US" w:eastAsia="zh-CN"/>
              </w:rPr>
              <w:t>20345270200100000185591</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 xml:space="preserve">    号：</w:t>
            </w:r>
          </w:p>
        </w:tc>
      </w:tr>
      <w:tr>
        <w:tblPrEx>
          <w:tblCellMar>
            <w:top w:w="0" w:type="dxa"/>
            <w:left w:w="108" w:type="dxa"/>
            <w:bottom w:w="0" w:type="dxa"/>
            <w:right w:w="108" w:type="dxa"/>
          </w:tblCellMar>
        </w:tblPrEx>
        <w:trPr>
          <w:trHeight w:val="590" w:hRule="atLeast"/>
          <w:jc w:val="center"/>
        </w:trPr>
        <w:tc>
          <w:tcPr>
            <w:tcW w:w="4503"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c>
          <w:tcPr>
            <w:tcW w:w="4501" w:type="dxa"/>
            <w:noWrap/>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r>
      <w:tr>
        <w:tblPrEx>
          <w:tblCellMar>
            <w:top w:w="0" w:type="dxa"/>
            <w:left w:w="108" w:type="dxa"/>
            <w:bottom w:w="0" w:type="dxa"/>
            <w:right w:w="108" w:type="dxa"/>
          </w:tblCellMar>
        </w:tblPrEx>
        <w:trPr>
          <w:trHeight w:val="590" w:hRule="atLeast"/>
          <w:jc w:val="center"/>
        </w:trPr>
        <w:tc>
          <w:tcPr>
            <w:tcW w:w="9004" w:type="dxa"/>
            <w:gridSpan w:val="2"/>
            <w:noWrap/>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    月    日</w:t>
            </w:r>
          </w:p>
        </w:tc>
      </w:tr>
    </w:tbl>
    <w:p>
      <w:pPr>
        <w:pStyle w:val="2"/>
        <w:rPr>
          <w:color w:val="auto"/>
          <w:highlight w:val="none"/>
        </w:rPr>
      </w:pPr>
    </w:p>
    <w:p>
      <w:pPr>
        <w:pStyle w:val="2"/>
        <w:rPr>
          <w:rFonts w:hint="eastAsia"/>
          <w:color w:val="auto"/>
          <w:highlight w:val="none"/>
          <w:lang w:val="en-US" w:eastAsia="zh-CN"/>
        </w:rPr>
      </w:pPr>
    </w:p>
    <w:sectPr>
      <w:headerReference r:id="rId10" w:type="default"/>
      <w:footerReference r:id="rId11" w:type="default"/>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wordWrap w:val="0"/>
      <w:jc w:val="right"/>
      <w:rPr>
        <w:color w:val="FF0000"/>
      </w:rPr>
    </w:pPr>
    <w:r>
      <w:rPr>
        <w:rFonts w:hint="eastAsia" w:ascii="Arial" w:hAnsi="Arial" w:cs="Arial"/>
        <w:color w:val="FF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B4018"/>
    <w:multiLevelType w:val="singleLevel"/>
    <w:tmpl w:val="713B4018"/>
    <w:lvl w:ilvl="0" w:tentative="0">
      <w:start w:val="1"/>
      <w:numFmt w:val="upperLetter"/>
      <w:pStyle w:val="3"/>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53944F5A"/>
    <w:rsid w:val="0052726E"/>
    <w:rsid w:val="03576C1A"/>
    <w:rsid w:val="088C56C8"/>
    <w:rsid w:val="09183888"/>
    <w:rsid w:val="10801226"/>
    <w:rsid w:val="12FD73A6"/>
    <w:rsid w:val="16D40F0B"/>
    <w:rsid w:val="1EB647CE"/>
    <w:rsid w:val="22A63D70"/>
    <w:rsid w:val="22F3650C"/>
    <w:rsid w:val="23FD0CBE"/>
    <w:rsid w:val="25657549"/>
    <w:rsid w:val="28476911"/>
    <w:rsid w:val="285B7229"/>
    <w:rsid w:val="29435CBF"/>
    <w:rsid w:val="29D06CB4"/>
    <w:rsid w:val="2B4125A4"/>
    <w:rsid w:val="2BC5112A"/>
    <w:rsid w:val="2DA359FB"/>
    <w:rsid w:val="2EFD6181"/>
    <w:rsid w:val="341A0E58"/>
    <w:rsid w:val="378E1D53"/>
    <w:rsid w:val="382A3E18"/>
    <w:rsid w:val="39CD01E2"/>
    <w:rsid w:val="3A455068"/>
    <w:rsid w:val="3CB14EAA"/>
    <w:rsid w:val="431A331F"/>
    <w:rsid w:val="4E45104C"/>
    <w:rsid w:val="4EAD2033"/>
    <w:rsid w:val="4EC37B11"/>
    <w:rsid w:val="4EF10D13"/>
    <w:rsid w:val="52C04A22"/>
    <w:rsid w:val="53944F5A"/>
    <w:rsid w:val="56594AC8"/>
    <w:rsid w:val="577E66ED"/>
    <w:rsid w:val="616F7CA4"/>
    <w:rsid w:val="629A6A14"/>
    <w:rsid w:val="652A4208"/>
    <w:rsid w:val="6E3E67F4"/>
    <w:rsid w:val="74770004"/>
    <w:rsid w:val="789165C7"/>
    <w:rsid w:val="79483E82"/>
    <w:rsid w:val="7AE53FCA"/>
    <w:rsid w:val="7DE46BC8"/>
    <w:rsid w:val="7EF3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numPr>
        <w:ilvl w:val="0"/>
        <w:numId w:val="1"/>
      </w:numPr>
      <w:spacing w:line="360" w:lineRule="auto"/>
      <w:outlineLvl w:val="1"/>
    </w:pPr>
    <w:rPr>
      <w:b/>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rFonts w:cs="Times New Roman"/>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5"/>
    <w:autoRedefine/>
    <w:qFormat/>
    <w:uiPriority w:val="0"/>
    <w:pPr>
      <w:tabs>
        <w:tab w:val="center" w:pos="4153"/>
        <w:tab w:val="right" w:pos="8306"/>
      </w:tabs>
      <w:snapToGrid w:val="0"/>
      <w:jc w:val="left"/>
    </w:pPr>
    <w:rPr>
      <w:sz w:val="18"/>
    </w:rPr>
  </w:style>
  <w:style w:type="paragraph" w:styleId="5">
    <w:name w:val="annotation text"/>
    <w:basedOn w:val="1"/>
    <w:link w:val="14"/>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0"/>
      <w:lang w:val="en-US" w:eastAsia="zh-CN" w:bidi="ar"/>
    </w:rPr>
  </w:style>
  <w:style w:type="paragraph" w:styleId="6">
    <w:name w:val="Body Text"/>
    <w:basedOn w:val="1"/>
    <w:next w:val="7"/>
    <w:link w:val="16"/>
    <w:autoRedefine/>
    <w:qFormat/>
    <w:uiPriority w:val="0"/>
    <w:pPr>
      <w:spacing w:after="120"/>
    </w:pPr>
  </w:style>
  <w:style w:type="paragraph" w:styleId="7">
    <w:name w:val="toc 2"/>
    <w:basedOn w:val="1"/>
    <w:next w:val="1"/>
    <w:autoRedefine/>
    <w:semiHidden/>
    <w:qFormat/>
    <w:uiPriority w:val="0"/>
    <w:pPr>
      <w:ind w:left="210"/>
      <w:jc w:val="left"/>
    </w:pPr>
    <w:rPr>
      <w:rFonts w:ascii="Times New Roman" w:hAnsi="Times New Roman"/>
      <w:smallCaps/>
      <w:sz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character" w:customStyle="1" w:styleId="14">
    <w:name w:val="批注文字 Char"/>
    <w:basedOn w:val="11"/>
    <w:link w:val="5"/>
    <w:qFormat/>
    <w:uiPriority w:val="0"/>
    <w:rPr>
      <w:kern w:val="2"/>
      <w:sz w:val="21"/>
    </w:rPr>
  </w:style>
  <w:style w:type="character" w:customStyle="1" w:styleId="15">
    <w:name w:val="页脚 Char"/>
    <w:basedOn w:val="11"/>
    <w:link w:val="2"/>
    <w:qFormat/>
    <w:uiPriority w:val="0"/>
    <w:rPr>
      <w:kern w:val="2"/>
      <w:sz w:val="18"/>
    </w:rPr>
  </w:style>
  <w:style w:type="character" w:customStyle="1" w:styleId="16">
    <w:name w:val="正文文本 Char"/>
    <w:basedOn w:val="11"/>
    <w:link w:val="6"/>
    <w:qFormat/>
    <w:uiPriority w:val="0"/>
    <w:rPr>
      <w:rFonts w:hint="eastAsia" w:ascii="金山简黑体" w:hAnsi="Courier New" w:eastAsia="金山简黑体" w:cs="金山简黑体"/>
      <w:b/>
      <w:spacing w:val="-8"/>
      <w:kern w:val="2"/>
      <w:sz w:val="44"/>
    </w:rPr>
  </w:style>
  <w:style w:type="paragraph" w:customStyle="1" w:styleId="17">
    <w:name w:val="正文_0"/>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_0"/>
    <w:basedOn w:val="17"/>
    <w:qFormat/>
    <w:uiPriority w:val="0"/>
    <w:pPr>
      <w:spacing w:after="120" w:afterLines="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7737</Words>
  <Characters>8208</Characters>
  <Lines>0</Lines>
  <Paragraphs>0</Paragraphs>
  <TotalTime>13</TotalTime>
  <ScaleCrop>false</ScaleCrop>
  <LinksUpToDate>false</LinksUpToDate>
  <CharactersWithSpaces>9001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2022-05-05T07:27:00Z</dcterms:created>
  <dc:creator>第二工程公司</dc:creator>
  <cp:lastModifiedBy>WPS_255337488</cp:lastModifiedBy>
  <cp:lastPrinted>2023-10-09T03:43:00Z</cp:lastPrinted>
  <dcterms:modified xsi:type="dcterms:W3CDTF">2024-05-17T07:38:16Z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93B22FD939E04AE0BB96DDA311B5FBAD_13</vt:lpwstr>
  </property>
</Properties>
</file>