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tabs>
          <w:tab w:val="left" w:pos="2931"/>
        </w:tabs>
        <w:rPr>
          <w:rFonts w:hint="default" w:ascii="仿宋_GB2312" w:hAnsi="仿宋" w:eastAsia="仿宋_GB2312" w:cs="仿宋"/>
          <w:b/>
          <w:bCs w:val="0"/>
          <w:color w:val="auto"/>
          <w:sz w:val="24"/>
          <w:szCs w:val="24"/>
          <w:lang w:val="en-US" w:eastAsia="zh-CN"/>
        </w:rPr>
      </w:pPr>
      <w:bookmarkStart w:id="0" w:name="_GoBack"/>
      <w:bookmarkEnd w:id="0"/>
      <w:r>
        <w:rPr>
          <w:rFonts w:hint="eastAsia" w:ascii="仿宋_GB2312" w:hAnsi="仿宋" w:eastAsia="仿宋_GB2312" w:cs="仿宋"/>
          <w:b/>
          <w:bCs w:val="0"/>
          <w:color w:val="auto"/>
          <w:sz w:val="24"/>
          <w:szCs w:val="24"/>
          <w:lang w:val="en-US" w:eastAsia="zh-CN"/>
        </w:rPr>
        <w:t>附件1</w:t>
      </w:r>
    </w:p>
    <w:p>
      <w:pPr>
        <w:pStyle w:val="15"/>
        <w:rPr>
          <w:rFonts w:hint="default"/>
          <w:color w:val="auto"/>
          <w:lang w:val="en-US" w:eastAsia="zh-CN"/>
        </w:rPr>
      </w:pPr>
    </w:p>
    <w:p>
      <w:pPr>
        <w:spacing w:line="360" w:lineRule="auto"/>
        <w:jc w:val="center"/>
        <w:rPr>
          <w:rFonts w:hint="eastAsia" w:ascii="宋体" w:hAnsi="宋体" w:eastAsia="宋体" w:cs="Times New Roman"/>
          <w:color w:val="auto"/>
          <w:kern w:val="2"/>
          <w:sz w:val="44"/>
          <w:szCs w:val="44"/>
          <w:lang w:val="en-US" w:eastAsia="zh-CN" w:bidi="ar-SA"/>
        </w:rPr>
      </w:pPr>
      <w:r>
        <w:rPr>
          <w:rFonts w:hint="eastAsia" w:ascii="宋体" w:hAnsi="宋体" w:eastAsia="宋体" w:cs="Times New Roman"/>
          <w:color w:val="auto"/>
          <w:kern w:val="2"/>
          <w:sz w:val="44"/>
          <w:szCs w:val="44"/>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投标单位（公章）：</w:t>
      </w:r>
      <w:r>
        <w:rPr>
          <w:rFonts w:hint="eastAsia" w:ascii="宋体" w:hAnsi="宋体" w:eastAsia="宋体" w:cs="Times New Roman"/>
          <w:color w:val="auto"/>
          <w:kern w:val="2"/>
          <w:sz w:val="28"/>
          <w:szCs w:val="28"/>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left="1400" w:hanging="1400" w:hangingChars="500"/>
        <w:rPr>
          <w:rFonts w:hint="default"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项目名称：</w:t>
      </w:r>
      <w:r>
        <w:rPr>
          <w:rFonts w:hint="eastAsia" w:ascii="宋体" w:hAnsi="宋体" w:eastAsia="宋体" w:cs="Times New Roman"/>
          <w:color w:val="auto"/>
          <w:sz w:val="28"/>
          <w:szCs w:val="28"/>
          <w:u w:val="single"/>
          <w:lang w:val="en-US" w:eastAsia="zh-CN"/>
        </w:rPr>
        <w:t>广西金益商贸物流有限公司</w:t>
      </w:r>
      <w:r>
        <w:rPr>
          <w:rFonts w:hint="eastAsia" w:hAnsi="宋体" w:eastAsia="宋体" w:cs="Times New Roman"/>
          <w:color w:val="auto"/>
          <w:sz w:val="28"/>
          <w:szCs w:val="28"/>
          <w:u w:val="single"/>
          <w:lang w:val="en-US" w:eastAsia="zh-CN"/>
        </w:rPr>
        <w:t>贸易</w:t>
      </w:r>
      <w:r>
        <w:rPr>
          <w:rFonts w:hint="eastAsia" w:ascii="宋体" w:hAnsi="宋体" w:eastAsia="宋体" w:cs="Times New Roman"/>
          <w:color w:val="auto"/>
          <w:sz w:val="28"/>
          <w:szCs w:val="28"/>
          <w:u w:val="single"/>
          <w:lang w:val="en-US" w:eastAsia="zh-CN"/>
        </w:rPr>
        <w:t>资产评估</w:t>
      </w:r>
      <w:r>
        <w:rPr>
          <w:rFonts w:hint="eastAsia" w:hAnsi="宋体" w:eastAsia="宋体" w:cs="Times New Roman"/>
          <w:color w:val="auto"/>
          <w:sz w:val="28"/>
          <w:szCs w:val="28"/>
          <w:u w:val="single"/>
          <w:lang w:val="en-US" w:eastAsia="zh-CN"/>
        </w:rPr>
        <w:t>服务</w:t>
      </w:r>
    </w:p>
    <w:p>
      <w:pPr>
        <w:spacing w:line="360" w:lineRule="auto"/>
        <w:rPr>
          <w:rFonts w:hint="eastAsia" w:ascii="宋体" w:hAnsi="宋体" w:eastAsia="宋体" w:cs="Times New Roman"/>
          <w:color w:val="auto"/>
          <w:kern w:val="2"/>
          <w:sz w:val="28"/>
          <w:szCs w:val="28"/>
          <w:lang w:val="en-US" w:eastAsia="zh-CN" w:bidi="ar-SA"/>
        </w:rPr>
      </w:pPr>
    </w:p>
    <w:p>
      <w:pPr>
        <w:spacing w:line="360" w:lineRule="auto"/>
        <w:rPr>
          <w:rFonts w:hint="default"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项目编号：</w:t>
      </w:r>
      <w:r>
        <w:rPr>
          <w:rFonts w:hint="eastAsia" w:ascii="宋体" w:hAnsi="宋体" w:eastAsia="宋体" w:cs="Times New Roman"/>
          <w:color w:val="auto"/>
          <w:kern w:val="2"/>
          <w:sz w:val="28"/>
          <w:szCs w:val="28"/>
          <w:highlight w:val="none"/>
          <w:u w:val="single"/>
          <w:lang w:val="en-US" w:eastAsia="zh-CN" w:bidi="ar-SA"/>
        </w:rPr>
        <w:t>HCCT20220209号</w:t>
      </w:r>
      <w:r>
        <w:rPr>
          <w:rFonts w:hint="eastAsia" w:ascii="宋体" w:hAnsi="宋体" w:eastAsia="宋体" w:cs="Times New Roman"/>
          <w:color w:val="auto"/>
          <w:kern w:val="2"/>
          <w:sz w:val="28"/>
          <w:szCs w:val="28"/>
          <w:lang w:val="en-US" w:eastAsia="zh-CN" w:bidi="ar-SA"/>
        </w:rPr>
        <w:t xml:space="preserve"> </w:t>
      </w:r>
    </w:p>
    <w:p>
      <w:pPr>
        <w:spacing w:line="360" w:lineRule="auto"/>
        <w:rPr>
          <w:rFonts w:hint="eastAsia" w:ascii="宋体" w:hAnsi="宋体" w:eastAsia="宋体" w:cs="Times New Roman"/>
          <w:color w:val="auto"/>
          <w:kern w:val="2"/>
          <w:sz w:val="28"/>
          <w:szCs w:val="28"/>
          <w:lang w:val="en-US" w:eastAsia="zh-CN" w:bidi="ar-SA"/>
        </w:rPr>
      </w:pPr>
    </w:p>
    <w:p>
      <w:pPr>
        <w:spacing w:line="360" w:lineRule="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报价金额（小写）：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1120" w:firstLineChars="4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（大写）：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                                </w:t>
      </w:r>
    </w:p>
    <w:p>
      <w:pPr>
        <w:spacing w:line="360" w:lineRule="auto"/>
        <w:ind w:firstLine="4760" w:firstLineChars="17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年   月   日                    </w:t>
      </w:r>
    </w:p>
    <w:p>
      <w:pPr>
        <w:pStyle w:val="3"/>
        <w:jc w:val="both"/>
        <w:rPr>
          <w:rFonts w:hint="eastAsia" w:hAnsi="宋体" w:eastAsia="宋体" w:cs="Times New Roman"/>
          <w:color w:val="auto"/>
        </w:rPr>
      </w:pPr>
    </w:p>
    <w:p>
      <w:pPr>
        <w:pStyle w:val="2"/>
        <w:rPr>
          <w:rFonts w:hint="eastAsia" w:hAnsi="宋体" w:eastAsia="宋体" w:cs="Times New Roman"/>
          <w:color w:val="auto"/>
        </w:rPr>
      </w:pPr>
    </w:p>
    <w:p>
      <w:pPr>
        <w:pStyle w:val="2"/>
        <w:rPr>
          <w:rFonts w:hint="eastAsia" w:hAnsi="宋体" w:eastAsia="宋体" w:cs="Times New Roman"/>
          <w:color w:val="auto"/>
        </w:rPr>
      </w:pPr>
    </w:p>
    <w:p>
      <w:pPr>
        <w:pStyle w:val="2"/>
        <w:rPr>
          <w:rFonts w:hint="eastAsia" w:hAnsi="宋体" w:eastAsia="宋体" w:cs="Times New Roman"/>
          <w:color w:val="auto"/>
        </w:rPr>
      </w:pPr>
    </w:p>
    <w:p>
      <w:pPr>
        <w:rPr>
          <w:rFonts w:hint="eastAsia"/>
          <w:color w:val="auto"/>
        </w:rPr>
      </w:pPr>
    </w:p>
    <w:p>
      <w:pPr>
        <w:rPr>
          <w:rFonts w:hint="eastAsia" w:ascii="仿宋_GB2312" w:eastAsia="仿宋_GB2312" w:hAnsiTheme="minorHAnsi" w:cstheme="minorBidi"/>
          <w:b/>
          <w:bCs/>
          <w:color w:val="auto"/>
          <w:sz w:val="32"/>
          <w:szCs w:val="32"/>
          <w:lang w:eastAsia="zh-CN"/>
        </w:rPr>
      </w:pPr>
      <w:r>
        <w:rPr>
          <w:rFonts w:hint="eastAsia" w:ascii="仿宋_GB2312" w:eastAsia="仿宋_GB2312"/>
          <w:b/>
          <w:bCs/>
          <w:color w:val="auto"/>
        </w:rPr>
        <w:t>注：最高上限控制价为</w:t>
      </w:r>
      <w:r>
        <w:rPr>
          <w:rFonts w:hint="eastAsia" w:ascii="仿宋_GB2312" w:eastAsia="仿宋_GB2312"/>
          <w:b/>
          <w:bCs/>
          <w:color w:val="auto"/>
          <w:lang w:val="en-US" w:eastAsia="zh-CN"/>
        </w:rPr>
        <w:t>人民币148000.00</w:t>
      </w:r>
      <w:r>
        <w:rPr>
          <w:rFonts w:hint="eastAsia" w:ascii="仿宋_GB2312" w:eastAsia="仿宋_GB2312"/>
          <w:b/>
          <w:bCs/>
          <w:color w:val="auto"/>
        </w:rPr>
        <w:t xml:space="preserve">元，金额大小写要一致，否则无效。   </w:t>
      </w:r>
    </w:p>
    <w:p>
      <w:pPr>
        <w:pStyle w:val="15"/>
        <w:rPr>
          <w:rFonts w:hint="default"/>
          <w:color w:val="auto"/>
          <w:lang w:val="en-US" w:eastAsia="zh-CN"/>
        </w:rPr>
      </w:pPr>
    </w:p>
    <w:p>
      <w:pPr>
        <w:pStyle w:val="2"/>
      </w:pPr>
    </w:p>
    <w:p>
      <w:pPr>
        <w:pStyle w:val="2"/>
      </w:pPr>
    </w:p>
    <w:p>
      <w:pPr>
        <w:pStyle w:val="2"/>
      </w:pPr>
    </w:p>
    <w:p>
      <w:pPr>
        <w:pStyle w:val="2"/>
      </w:pPr>
    </w:p>
    <w:p>
      <w:pPr>
        <w:pStyle w:val="2"/>
      </w:pPr>
    </w:p>
    <w:p>
      <w:pPr>
        <w:pStyle w:val="2"/>
      </w:pPr>
    </w:p>
    <w:p>
      <w:pPr>
        <w:pStyle w:val="2"/>
      </w:pPr>
    </w:p>
    <w:p>
      <w:pPr>
        <w:pStyle w:val="2"/>
      </w:pPr>
    </w:p>
    <w:p>
      <w:pPr>
        <w:pStyle w:val="15"/>
        <w:tabs>
          <w:tab w:val="left" w:pos="2931"/>
        </w:tabs>
        <w:rPr>
          <w:rFonts w:hint="eastAsia" w:ascii="仿宋_GB2312" w:hAnsi="仿宋" w:eastAsia="仿宋_GB2312" w:cs="仿宋"/>
          <w:b/>
          <w:bCs w:val="0"/>
          <w:color w:val="auto"/>
          <w:sz w:val="24"/>
          <w:szCs w:val="24"/>
          <w:lang w:val="en-US" w:eastAsia="zh-CN"/>
        </w:rPr>
      </w:pPr>
    </w:p>
    <w:p>
      <w:pPr>
        <w:pStyle w:val="15"/>
        <w:tabs>
          <w:tab w:val="left" w:pos="2931"/>
        </w:tabs>
        <w:rPr>
          <w:rFonts w:hint="eastAsia" w:ascii="仿宋_GB2312" w:hAnsi="仿宋" w:eastAsia="仿宋_GB2312" w:cs="仿宋"/>
          <w:b/>
          <w:bCs w:val="0"/>
          <w:color w:val="auto"/>
          <w:sz w:val="24"/>
          <w:szCs w:val="24"/>
          <w:lang w:val="en-US" w:eastAsia="zh-CN"/>
        </w:rPr>
      </w:pPr>
    </w:p>
    <w:p>
      <w:pPr>
        <w:pStyle w:val="15"/>
        <w:tabs>
          <w:tab w:val="left" w:pos="2931"/>
        </w:tabs>
        <w:rPr>
          <w:rFonts w:hint="eastAsia" w:ascii="仿宋_GB2312" w:hAnsi="仿宋" w:eastAsia="仿宋_GB2312" w:cs="仿宋"/>
          <w:b/>
          <w:bCs w:val="0"/>
          <w:color w:val="auto"/>
          <w:sz w:val="24"/>
          <w:szCs w:val="24"/>
          <w:lang w:val="en-US" w:eastAsia="zh-CN"/>
        </w:rPr>
      </w:pPr>
      <w:r>
        <w:rPr>
          <w:rFonts w:hint="eastAsia" w:ascii="仿宋_GB2312" w:hAnsi="仿宋" w:eastAsia="仿宋_GB2312" w:cs="仿宋"/>
          <w:b/>
          <w:bCs w:val="0"/>
          <w:color w:val="auto"/>
          <w:sz w:val="24"/>
          <w:szCs w:val="24"/>
          <w:lang w:val="en-US" w:eastAsia="zh-CN"/>
        </w:rPr>
        <w:t xml:space="preserve">附件2  </w:t>
      </w:r>
    </w:p>
    <w:p>
      <w:pPr>
        <w:keepNext w:val="0"/>
        <w:keepLines w:val="0"/>
        <w:pageBreakBefore w:val="0"/>
        <w:kinsoku/>
        <w:wordWrap/>
        <w:topLinePunct w:val="0"/>
        <w:bidi w:val="0"/>
        <w:snapToGrid/>
        <w:spacing w:line="600" w:lineRule="exact"/>
        <w:jc w:val="center"/>
        <w:rPr>
          <w:rFonts w:hint="eastAsia" w:ascii="仿宋_GB2312" w:eastAsia="仿宋_GB2312"/>
          <w:b/>
          <w:bCs/>
          <w:sz w:val="44"/>
          <w:szCs w:val="44"/>
        </w:rPr>
      </w:pPr>
      <w:r>
        <w:rPr>
          <w:rFonts w:hint="eastAsia" w:ascii="仿宋_GB2312" w:eastAsia="仿宋_GB2312"/>
          <w:b/>
          <w:bCs/>
          <w:sz w:val="44"/>
          <w:szCs w:val="44"/>
        </w:rPr>
        <w:t>资产评估委托合同</w:t>
      </w:r>
    </w:p>
    <w:p>
      <w:pPr>
        <w:keepNext w:val="0"/>
        <w:keepLines w:val="0"/>
        <w:pageBreakBefore w:val="0"/>
        <w:kinsoku/>
        <w:wordWrap/>
        <w:topLinePunct w:val="0"/>
        <w:bidi w:val="0"/>
        <w:snapToGrid/>
        <w:spacing w:line="600" w:lineRule="exact"/>
        <w:rPr>
          <w:rFonts w:hint="eastAsia" w:ascii="仿宋_GB2312" w:eastAsia="仿宋_GB2312"/>
          <w:sz w:val="30"/>
          <w:szCs w:val="30"/>
        </w:rPr>
      </w:pPr>
      <w:r>
        <w:rPr>
          <w:rFonts w:hint="eastAsia" w:ascii="仿宋_GB2312" w:eastAsia="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按照《中华人民共和国民法典》、《资产评估管理办法》、《中华人民共和国房地产管理法》及其他有关法律、行政法规的规定，在遵循平等、自愿、公平和诚实信用的原则，</w:t>
      </w:r>
      <w:r>
        <w:rPr>
          <w:rFonts w:hint="eastAsia" w:ascii="宋体" w:hAnsi="宋体" w:eastAsia="宋体" w:cs="Times New Roman"/>
          <w:color w:val="auto"/>
          <w:kern w:val="2"/>
          <w:sz w:val="28"/>
          <w:szCs w:val="28"/>
          <w:lang w:val="en-US" w:eastAsia="zh-CN" w:bidi="ar-SA"/>
        </w:rPr>
        <w:t xml:space="preserve">本合同书确认广西金益商贸物流有限公司（简称委托方）委托 </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（简称受托方）就其委托的资产进行评估，并将有关事项约定如下：</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一、业务内容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（一）委托方：广西金益商贸物流有限公司。</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（二）评估目的：确定委估资产市场价值，为委托方拟进行抵押担保提供价值参考。</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（三）评估对象和评估范围：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评估对象和评估范围为环江毛南族自治县新发矿业有限责任公司（以下简称“新发公司”）和广西河池市西部工业物资有限公司（以下简称“西部公司”）所属的存货、固定资产及采矿权等，详见合同附件1、《新发公司资产评估申报明细表》和附件2、《西部公司资产评估申报明细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（四）评估基准日：2023年</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月</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（五）报告使用者：委托方、资产占有方及国家法律、法规规定的评估报告使用者。</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二、双方的权利义务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（一）受托方权利义务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1、受托方有权按照法律、法规和资产评估执业准则，独立、客观、公正地进行资产评估工作。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2、受托方应按约定的评估目的、范围和评估基准日对委估资产采用恰当的评估方法和履行适当的评估程序进行评估，在约定的时间内出具资产评估报告。</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3、对申报评估资产进行抽查核实、实地调查，实事求是地对资产进行调查勘察。</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4、受托方对评估对象提供的资料负有保密责任，未经评估对象书面同意，受托方不得将其提供的资料以及己方出具的评估报告内容公开或提供给第三方。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5、受托方承接本次资产评估业务的目的是对评估对象价值进行估算并发表专业意见，资产评估师对评估对象的法律权属状况应当给予必要的关注，但不对评估对象的法律权属作任何形式的保证。</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（二）委托方权利义务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1、委托方有权在本评估目的下使用评估报告并提供给合同书中约定的其他使用者，应当在评估结论使用有效期内使用资产评估报告，由于使用者不当使用评估报告所造成的后果受托方不承担责任。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2、委托方督促评估对象的资产评估所需的全部资料，并要求评估对象提供的资料具有真实性、完整性和合法性。</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3、在评估人员的指导下，按评估要求填写《资产评估申报明细表》及有关资料。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4、按资产评估委托合同书规定及时足额支付评估费用。</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三、评估报告提交期限和方式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双方签定资产评估委托合同后，受托方应于</w:t>
      </w:r>
      <w:r>
        <w:rPr>
          <w:rFonts w:hint="eastAsia" w:ascii="宋体" w:hAnsi="宋体" w:eastAsia="宋体" w:cs="Times New Roman"/>
          <w:color w:val="auto"/>
          <w:kern w:val="2"/>
          <w:sz w:val="28"/>
          <w:szCs w:val="28"/>
          <w:u w:val="single"/>
          <w:lang w:val="en-US" w:eastAsia="zh-CN" w:bidi="ar-SA"/>
        </w:rPr>
        <w:t xml:space="preserve"> 5 </w:t>
      </w:r>
      <w:r>
        <w:rPr>
          <w:rFonts w:hint="eastAsia" w:ascii="宋体" w:hAnsi="宋体" w:eastAsia="宋体" w:cs="Times New Roman"/>
          <w:color w:val="auto"/>
          <w:kern w:val="2"/>
          <w:sz w:val="28"/>
          <w:szCs w:val="28"/>
          <w:lang w:val="en-US" w:eastAsia="zh-CN" w:bidi="ar-SA"/>
        </w:rPr>
        <w:t>个工作日内提供评估所需的全部资料，受托方在委托方提交齐全资料后</w:t>
      </w:r>
      <w:r>
        <w:rPr>
          <w:rFonts w:hint="eastAsia" w:ascii="宋体" w:hAnsi="宋体" w:eastAsia="宋体" w:cs="Times New Roman"/>
          <w:color w:val="auto"/>
          <w:kern w:val="2"/>
          <w:sz w:val="28"/>
          <w:szCs w:val="28"/>
          <w:u w:val="single"/>
          <w:lang w:val="en-US" w:eastAsia="zh-CN" w:bidi="ar-SA"/>
        </w:rPr>
        <w:t>15</w:t>
      </w:r>
      <w:r>
        <w:rPr>
          <w:rFonts w:hint="eastAsia" w:ascii="宋体" w:hAnsi="宋体" w:eastAsia="宋体" w:cs="Times New Roman"/>
          <w:color w:val="auto"/>
          <w:kern w:val="2"/>
          <w:sz w:val="28"/>
          <w:szCs w:val="28"/>
          <w:lang w:val="en-US" w:eastAsia="zh-CN" w:bidi="ar-SA"/>
        </w:rPr>
        <w:t>个工作日内（法定节假日除外）出具评估报告（征求意见稿）；经委托方和受托方沟通确认后，受托方在</w:t>
      </w:r>
      <w:r>
        <w:rPr>
          <w:rFonts w:hint="eastAsia" w:ascii="宋体" w:hAnsi="宋体" w:eastAsia="宋体" w:cs="Times New Roman"/>
          <w:color w:val="auto"/>
          <w:kern w:val="2"/>
          <w:sz w:val="28"/>
          <w:szCs w:val="28"/>
          <w:u w:val="single"/>
          <w:lang w:val="en-US" w:eastAsia="zh-CN" w:bidi="ar-SA"/>
        </w:rPr>
        <w:t xml:space="preserve"> 3 </w:t>
      </w:r>
      <w:r>
        <w:rPr>
          <w:rFonts w:hint="eastAsia" w:ascii="宋体" w:hAnsi="宋体" w:eastAsia="宋体" w:cs="Times New Roman"/>
          <w:color w:val="auto"/>
          <w:kern w:val="2"/>
          <w:sz w:val="28"/>
          <w:szCs w:val="28"/>
          <w:lang w:val="en-US" w:eastAsia="zh-CN" w:bidi="ar-SA"/>
        </w:rPr>
        <w:t>个工作日内出具正式的评估报告，受托方向委托方出具的评估报告正本一式</w:t>
      </w:r>
      <w:r>
        <w:rPr>
          <w:rFonts w:hint="eastAsia" w:ascii="宋体" w:hAnsi="宋体" w:eastAsia="宋体" w:cs="Times New Roman"/>
          <w:color w:val="auto"/>
          <w:kern w:val="2"/>
          <w:sz w:val="28"/>
          <w:szCs w:val="28"/>
          <w:u w:val="single"/>
          <w:lang w:val="en-US" w:eastAsia="zh-CN" w:bidi="ar-SA"/>
        </w:rPr>
        <w:t xml:space="preserve"> 叁 </w:t>
      </w:r>
      <w:r>
        <w:rPr>
          <w:rFonts w:hint="eastAsia" w:ascii="宋体" w:hAnsi="宋体" w:eastAsia="宋体" w:cs="Times New Roman"/>
          <w:color w:val="auto"/>
          <w:kern w:val="2"/>
          <w:sz w:val="28"/>
          <w:szCs w:val="28"/>
          <w:lang w:val="en-US" w:eastAsia="zh-CN" w:bidi="ar-SA"/>
        </w:rPr>
        <w:t>份。</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四、评估业务合同书中止与解除</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当评估程序受到限制，如评估对象不能提供相关的主要资料、受托方无法进入资产所在地勘察等，对与评估目的相对应的评估结论构成重大影响时，经委托方同意受托方可以暂缓出具评估报告，待限制条件解除后经委托方通知受托方应按照本合同要求继续开展工作。</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五、评估服务费及支付方法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1、根据2024年</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月</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日委托方发出的成交通知书，本项目评估服务费总价为人民币</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元整（￥</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元），评估服务费由委托方支付给受托方，在本评估委托合同签订生效后的</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个工作日内，委托方以银行转账（现金）先支付评估预付款人民币</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元（￥</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元整），剩余评估费人民币</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元（￥</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元整），待受托方向委托方提交正式资产评估报告书，并提供符合要求的全额增值税专用发票和付款申请函后</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日之内，委托方按以上约定的数额向受托方支付服务费。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2、受托方出具正式资产评估报告，视为完成工作量100%，委托方需按约定支付全部评估服务费。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3、双方签订的评估服务费总价属于包干费用（包括但不限于交通、住宿、就餐、税费等一切费用）。</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六、约定事项的变更及违约责任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1、由于出现不可抗力的情况，影响评估工作如期完成，或需提前出具评估报告，各方可要求变更约定事项，但应及时通知各方，并由各方协商解决。</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受托方如无特殊原因和正当理由，不得迟于本合同规定的时间交付评估报告书；委托方如不按本合同规定的时间向评估机构提交前述有关评估依据的，评估机构可按委托方延误时间顺延评估报告书的交付时间。如受托人未按照合同要求按时向甲方提供合格的服务结果的（非受托人过错除外），委托人有权拒绝向受托人付款，已支付款项委托人有权要求受托人全部退回。</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七、合同争议解决</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1、若双方就本合同约定条款发生争议，可通过协商解决；协商不成的，任何一方可依据合同的规定向合同签订地址所在地人民法院提起诉讼。</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2、在履行本合同过程中，任何一方若违约而产生的诉讼案，诉讼所产生的费用（包括但不只限于诉讼费、受理费、律师费、保全费等）由违约方承担。</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八、其他事项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1、本合同自双方签字盖章之日起生效，合同如有未尽事宜，经双方共同协商达成补充协议，作为本合同的重要组成部分，与本合同具有同等的法律效力。</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2、本合同一式肆份，双方各持两份，具有同等法律效力。</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合同附件：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       1、新发公司资产评估申报明细表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       2、西部公司资产评估申报明细表</w:t>
      </w:r>
    </w:p>
    <w:tbl>
      <w:tblPr>
        <w:tblStyle w:val="9"/>
        <w:tblpPr w:leftFromText="180" w:rightFromText="180" w:vertAnchor="text" w:horzAnchor="page" w:tblpX="1438" w:tblpY="761"/>
        <w:tblOverlap w:val="never"/>
        <w:tblW w:w="9004" w:type="dxa"/>
        <w:tblInd w:w="0" w:type="dxa"/>
        <w:tblLayout w:type="fixed"/>
        <w:tblCellMar>
          <w:top w:w="0" w:type="dxa"/>
          <w:left w:w="108" w:type="dxa"/>
          <w:bottom w:w="0" w:type="dxa"/>
          <w:right w:w="108" w:type="dxa"/>
        </w:tblCellMar>
      </w:tblPr>
      <w:tblGrid>
        <w:gridCol w:w="5113"/>
        <w:gridCol w:w="3891"/>
      </w:tblGrid>
      <w:tr>
        <w:tblPrEx>
          <w:tblCellMar>
            <w:top w:w="0" w:type="dxa"/>
            <w:left w:w="108" w:type="dxa"/>
            <w:bottom w:w="0" w:type="dxa"/>
            <w:right w:w="108" w:type="dxa"/>
          </w:tblCellMar>
        </w:tblPrEx>
        <w:trPr>
          <w:trHeight w:val="874" w:hRule="atLeast"/>
        </w:trPr>
        <w:tc>
          <w:tcPr>
            <w:tcW w:w="5113"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rFonts w:hint="eastAsia" w:eastAsiaTheme="minorEastAsia"/>
                <w:sz w:val="24"/>
                <w:lang w:eastAsia="zh-CN"/>
              </w:rPr>
            </w:pPr>
            <w:r>
              <w:rPr>
                <w:rFonts w:hint="eastAsia"/>
                <w:sz w:val="24"/>
              </w:rPr>
              <w:t>委托人(盖章)：</w:t>
            </w:r>
            <w:r>
              <w:rPr>
                <w:rFonts w:hint="eastAsia" w:ascii="宋体" w:hAnsi="宋体" w:eastAsia="宋体" w:cs="Times New Roman"/>
                <w:color w:val="auto"/>
                <w:kern w:val="2"/>
                <w:sz w:val="28"/>
                <w:szCs w:val="28"/>
                <w:lang w:val="en-US" w:eastAsia="zh-CN" w:bidi="ar-SA"/>
              </w:rPr>
              <w:t>广西金益商贸物流有限公司</w:t>
            </w:r>
          </w:p>
        </w:tc>
        <w:tc>
          <w:tcPr>
            <w:tcW w:w="3891"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受托人(盖章)：</w:t>
            </w:r>
          </w:p>
        </w:tc>
      </w:tr>
      <w:tr>
        <w:tblPrEx>
          <w:tblCellMar>
            <w:top w:w="0" w:type="dxa"/>
            <w:left w:w="108" w:type="dxa"/>
            <w:bottom w:w="0" w:type="dxa"/>
            <w:right w:w="108" w:type="dxa"/>
          </w:tblCellMar>
        </w:tblPrEx>
        <w:trPr>
          <w:trHeight w:val="1149" w:hRule="atLeast"/>
        </w:trPr>
        <w:tc>
          <w:tcPr>
            <w:tcW w:w="5113"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法定代表人或</w:t>
            </w:r>
          </w:p>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授权代理人(签字或盖章)：</w:t>
            </w:r>
          </w:p>
        </w:tc>
        <w:tc>
          <w:tcPr>
            <w:tcW w:w="3891"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法定代表人或</w:t>
            </w:r>
          </w:p>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授权代理人(签字或盖章)：</w:t>
            </w:r>
          </w:p>
        </w:tc>
      </w:tr>
      <w:tr>
        <w:tblPrEx>
          <w:tblCellMar>
            <w:top w:w="0" w:type="dxa"/>
            <w:left w:w="108" w:type="dxa"/>
            <w:bottom w:w="0" w:type="dxa"/>
            <w:right w:w="108" w:type="dxa"/>
          </w:tblCellMar>
        </w:tblPrEx>
        <w:trPr>
          <w:trHeight w:val="480" w:hRule="atLeast"/>
        </w:trPr>
        <w:tc>
          <w:tcPr>
            <w:tcW w:w="5113"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经</w:t>
            </w:r>
            <w:r>
              <w:rPr>
                <w:rFonts w:hint="eastAsia"/>
                <w:sz w:val="24"/>
                <w:lang w:val="en-US" w:eastAsia="zh-CN"/>
              </w:rPr>
              <w:t xml:space="preserve"> </w:t>
            </w:r>
            <w:r>
              <w:rPr>
                <w:rFonts w:hint="eastAsia"/>
                <w:sz w:val="24"/>
              </w:rPr>
              <w:t>办</w:t>
            </w:r>
            <w:r>
              <w:rPr>
                <w:rFonts w:hint="eastAsia"/>
                <w:sz w:val="24"/>
                <w:lang w:val="en-US" w:eastAsia="zh-CN"/>
              </w:rPr>
              <w:t xml:space="preserve"> </w:t>
            </w:r>
            <w:r>
              <w:rPr>
                <w:rFonts w:hint="eastAsia"/>
                <w:sz w:val="24"/>
              </w:rPr>
              <w:t>人：</w:t>
            </w:r>
          </w:p>
        </w:tc>
        <w:tc>
          <w:tcPr>
            <w:tcW w:w="3891"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联</w:t>
            </w:r>
            <w:r>
              <w:rPr>
                <w:rFonts w:hint="eastAsia"/>
                <w:sz w:val="24"/>
                <w:lang w:val="en-US" w:eastAsia="zh-CN"/>
              </w:rPr>
              <w:t xml:space="preserve"> </w:t>
            </w:r>
            <w:r>
              <w:rPr>
                <w:rFonts w:hint="eastAsia"/>
                <w:sz w:val="24"/>
              </w:rPr>
              <w:t>系</w:t>
            </w:r>
            <w:r>
              <w:rPr>
                <w:rFonts w:hint="eastAsia"/>
                <w:sz w:val="24"/>
                <w:lang w:val="en-US" w:eastAsia="zh-CN"/>
              </w:rPr>
              <w:t xml:space="preserve"> </w:t>
            </w:r>
            <w:r>
              <w:rPr>
                <w:rFonts w:hint="eastAsia"/>
                <w:sz w:val="24"/>
              </w:rPr>
              <w:t>人：</w:t>
            </w:r>
          </w:p>
        </w:tc>
      </w:tr>
      <w:tr>
        <w:tblPrEx>
          <w:tblCellMar>
            <w:top w:w="0" w:type="dxa"/>
            <w:left w:w="108" w:type="dxa"/>
            <w:bottom w:w="0" w:type="dxa"/>
            <w:right w:w="108" w:type="dxa"/>
          </w:tblCellMar>
        </w:tblPrEx>
        <w:trPr>
          <w:trHeight w:val="590" w:hRule="atLeast"/>
        </w:trPr>
        <w:tc>
          <w:tcPr>
            <w:tcW w:w="5113"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 xml:space="preserve">电 </w:t>
            </w:r>
            <w:r>
              <w:rPr>
                <w:rFonts w:hint="eastAsia"/>
                <w:sz w:val="24"/>
                <w:lang w:val="en-US" w:eastAsia="zh-CN"/>
              </w:rPr>
              <w:t xml:space="preserve">  </w:t>
            </w:r>
            <w:r>
              <w:rPr>
                <w:rFonts w:hint="eastAsia"/>
                <w:sz w:val="24"/>
              </w:rPr>
              <w:t xml:space="preserve"> 话：</w:t>
            </w:r>
          </w:p>
        </w:tc>
        <w:tc>
          <w:tcPr>
            <w:tcW w:w="3891"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电</w:t>
            </w:r>
            <w:r>
              <w:rPr>
                <w:rFonts w:hint="eastAsia"/>
                <w:sz w:val="24"/>
                <w:lang w:val="en-US" w:eastAsia="zh-CN"/>
              </w:rPr>
              <w:t xml:space="preserve">  </w:t>
            </w:r>
            <w:r>
              <w:rPr>
                <w:rFonts w:hint="eastAsia"/>
                <w:sz w:val="24"/>
              </w:rPr>
              <w:t xml:space="preserve">  话：</w:t>
            </w:r>
          </w:p>
        </w:tc>
      </w:tr>
      <w:tr>
        <w:tblPrEx>
          <w:tblCellMar>
            <w:top w:w="0" w:type="dxa"/>
            <w:left w:w="108" w:type="dxa"/>
            <w:bottom w:w="0" w:type="dxa"/>
            <w:right w:w="108" w:type="dxa"/>
          </w:tblCellMar>
        </w:tblPrEx>
        <w:trPr>
          <w:trHeight w:val="590" w:hRule="atLeast"/>
        </w:trPr>
        <w:tc>
          <w:tcPr>
            <w:tcW w:w="5113"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 xml:space="preserve">地 </w:t>
            </w:r>
            <w:r>
              <w:rPr>
                <w:rFonts w:hint="eastAsia"/>
                <w:sz w:val="24"/>
                <w:lang w:val="en-US" w:eastAsia="zh-CN"/>
              </w:rPr>
              <w:t xml:space="preserve">  </w:t>
            </w:r>
            <w:r>
              <w:rPr>
                <w:rFonts w:hint="eastAsia"/>
                <w:sz w:val="24"/>
              </w:rPr>
              <w:t xml:space="preserve"> 址：</w:t>
            </w:r>
            <w:r>
              <w:rPr>
                <w:rFonts w:hint="eastAsia" w:ascii="Times New Roman" w:hAnsi="Times New Roman" w:cs="Times New Roman"/>
                <w:kern w:val="0"/>
                <w:sz w:val="24"/>
                <w:szCs w:val="24"/>
                <w:lang w:eastAsia="zh-CN"/>
              </w:rPr>
              <w:t>河池市金城江区金碧路</w:t>
            </w:r>
            <w:r>
              <w:rPr>
                <w:rFonts w:hint="eastAsia" w:ascii="Times New Roman" w:hAnsi="Times New Roman" w:cs="Times New Roman"/>
                <w:kern w:val="0"/>
                <w:sz w:val="24"/>
                <w:szCs w:val="24"/>
                <w:lang w:val="en-US" w:eastAsia="zh-CN"/>
              </w:rPr>
              <w:t>25</w:t>
            </w:r>
            <w:r>
              <w:rPr>
                <w:rFonts w:hint="eastAsia" w:ascii="Times New Roman" w:hAnsi="Times New Roman" w:cs="Times New Roman"/>
                <w:kern w:val="0"/>
                <w:sz w:val="24"/>
                <w:szCs w:val="24"/>
                <w:lang w:eastAsia="zh-CN"/>
              </w:rPr>
              <w:t xml:space="preserve">号 </w:t>
            </w:r>
            <w:r>
              <w:rPr>
                <w:rFonts w:hint="default" w:ascii="Times New Roman" w:hAnsi="Times New Roman" w:cs="Times New Roman"/>
                <w:kern w:val="0"/>
                <w:sz w:val="24"/>
                <w:szCs w:val="24"/>
              </w:rPr>
              <w:t xml:space="preserve"> </w:t>
            </w:r>
            <w:r>
              <w:rPr>
                <w:rFonts w:hint="eastAsia"/>
                <w:sz w:val="24"/>
              </w:rPr>
              <w:t xml:space="preserve"> </w:t>
            </w:r>
          </w:p>
        </w:tc>
        <w:tc>
          <w:tcPr>
            <w:tcW w:w="3891"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 xml:space="preserve">地 </w:t>
            </w:r>
            <w:r>
              <w:rPr>
                <w:rFonts w:hint="eastAsia"/>
                <w:sz w:val="24"/>
                <w:lang w:val="en-US" w:eastAsia="zh-CN"/>
              </w:rPr>
              <w:t xml:space="preserve">  </w:t>
            </w:r>
            <w:r>
              <w:rPr>
                <w:rFonts w:hint="eastAsia"/>
                <w:sz w:val="24"/>
              </w:rPr>
              <w:t xml:space="preserve"> 址：</w:t>
            </w:r>
          </w:p>
        </w:tc>
      </w:tr>
      <w:tr>
        <w:tblPrEx>
          <w:tblCellMar>
            <w:top w:w="0" w:type="dxa"/>
            <w:left w:w="108" w:type="dxa"/>
            <w:bottom w:w="0" w:type="dxa"/>
            <w:right w:w="108" w:type="dxa"/>
          </w:tblCellMar>
        </w:tblPrEx>
        <w:trPr>
          <w:trHeight w:val="435" w:hRule="atLeast"/>
        </w:trPr>
        <w:tc>
          <w:tcPr>
            <w:tcW w:w="5113"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 xml:space="preserve">电子邮箱： </w:t>
            </w:r>
          </w:p>
        </w:tc>
        <w:tc>
          <w:tcPr>
            <w:tcW w:w="3891"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电子邮箱：</w:t>
            </w:r>
          </w:p>
        </w:tc>
      </w:tr>
      <w:tr>
        <w:tblPrEx>
          <w:tblCellMar>
            <w:top w:w="0" w:type="dxa"/>
            <w:left w:w="108" w:type="dxa"/>
            <w:bottom w:w="0" w:type="dxa"/>
            <w:right w:w="108" w:type="dxa"/>
          </w:tblCellMar>
        </w:tblPrEx>
        <w:trPr>
          <w:trHeight w:val="590" w:hRule="atLeast"/>
        </w:trPr>
        <w:tc>
          <w:tcPr>
            <w:tcW w:w="5113"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rFonts w:hint="eastAsia" w:eastAsiaTheme="minorEastAsia"/>
                <w:sz w:val="24"/>
                <w:lang w:eastAsia="zh-CN"/>
              </w:rPr>
            </w:pPr>
            <w:r>
              <w:rPr>
                <w:rFonts w:hint="eastAsia"/>
                <w:sz w:val="24"/>
              </w:rPr>
              <w:t>开户名称：</w:t>
            </w:r>
          </w:p>
        </w:tc>
        <w:tc>
          <w:tcPr>
            <w:tcW w:w="3891"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开户名称：</w:t>
            </w:r>
          </w:p>
        </w:tc>
      </w:tr>
      <w:tr>
        <w:tblPrEx>
          <w:tblCellMar>
            <w:top w:w="0" w:type="dxa"/>
            <w:left w:w="108" w:type="dxa"/>
            <w:bottom w:w="0" w:type="dxa"/>
            <w:right w:w="108" w:type="dxa"/>
          </w:tblCellMar>
        </w:tblPrEx>
        <w:trPr>
          <w:trHeight w:val="590" w:hRule="atLeast"/>
        </w:trPr>
        <w:tc>
          <w:tcPr>
            <w:tcW w:w="5113"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开户银行：</w:t>
            </w:r>
          </w:p>
        </w:tc>
        <w:tc>
          <w:tcPr>
            <w:tcW w:w="3891"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开户银行：</w:t>
            </w:r>
          </w:p>
        </w:tc>
      </w:tr>
      <w:tr>
        <w:tblPrEx>
          <w:tblCellMar>
            <w:top w:w="0" w:type="dxa"/>
            <w:left w:w="108" w:type="dxa"/>
            <w:bottom w:w="0" w:type="dxa"/>
            <w:right w:w="108" w:type="dxa"/>
          </w:tblCellMar>
        </w:tblPrEx>
        <w:trPr>
          <w:trHeight w:val="590" w:hRule="atLeast"/>
        </w:trPr>
        <w:tc>
          <w:tcPr>
            <w:tcW w:w="5113"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lang w:eastAsia="zh-CN"/>
              </w:rPr>
              <w:t>账</w:t>
            </w:r>
            <w:r>
              <w:rPr>
                <w:rFonts w:hint="eastAsia"/>
                <w:sz w:val="24"/>
              </w:rPr>
              <w:t xml:space="preserve">  </w:t>
            </w:r>
            <w:r>
              <w:rPr>
                <w:rFonts w:hint="eastAsia"/>
                <w:sz w:val="24"/>
                <w:lang w:val="en-US" w:eastAsia="zh-CN"/>
              </w:rPr>
              <w:t xml:space="preserve"> </w:t>
            </w:r>
            <w:r>
              <w:rPr>
                <w:rFonts w:hint="eastAsia"/>
                <w:sz w:val="24"/>
              </w:rPr>
              <w:t xml:space="preserve"> 号：</w:t>
            </w:r>
          </w:p>
        </w:tc>
        <w:tc>
          <w:tcPr>
            <w:tcW w:w="3891"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lang w:eastAsia="zh-CN"/>
              </w:rPr>
              <w:t>账</w:t>
            </w:r>
            <w:r>
              <w:rPr>
                <w:rFonts w:hint="eastAsia"/>
                <w:sz w:val="24"/>
              </w:rPr>
              <w:t xml:space="preserve">    号：</w:t>
            </w:r>
          </w:p>
        </w:tc>
      </w:tr>
      <w:tr>
        <w:tblPrEx>
          <w:tblCellMar>
            <w:top w:w="0" w:type="dxa"/>
            <w:left w:w="108" w:type="dxa"/>
            <w:bottom w:w="0" w:type="dxa"/>
            <w:right w:w="108" w:type="dxa"/>
          </w:tblCellMar>
        </w:tblPrEx>
        <w:trPr>
          <w:trHeight w:val="590" w:hRule="atLeast"/>
        </w:trPr>
        <w:tc>
          <w:tcPr>
            <w:tcW w:w="5113"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社会信用代码：</w:t>
            </w:r>
          </w:p>
        </w:tc>
        <w:tc>
          <w:tcPr>
            <w:tcW w:w="3891" w:type="dxa"/>
            <w:noWrap/>
            <w:vAlign w:val="center"/>
          </w:tcPr>
          <w:p>
            <w:pPr>
              <w:keepNext w:val="0"/>
              <w:keepLines w:val="0"/>
              <w:pageBreakBefore w:val="0"/>
              <w:widowControl w:val="0"/>
              <w:kinsoku/>
              <w:wordWrap/>
              <w:overflowPunct/>
              <w:topLinePunct w:val="0"/>
              <w:autoSpaceDE/>
              <w:autoSpaceDN/>
              <w:bidi w:val="0"/>
              <w:adjustRightInd/>
              <w:spacing w:line="600" w:lineRule="exact"/>
              <w:textAlignment w:val="auto"/>
              <w:rPr>
                <w:sz w:val="24"/>
              </w:rPr>
            </w:pPr>
            <w:r>
              <w:rPr>
                <w:rFonts w:hint="eastAsia"/>
                <w:sz w:val="24"/>
              </w:rPr>
              <w:t>社会信用代码：</w:t>
            </w:r>
          </w:p>
        </w:tc>
      </w:tr>
    </w:tbl>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default" w:ascii="宋体" w:hAnsi="宋体" w:eastAsia="宋体" w:cs="Times New Roman"/>
          <w:color w:val="auto"/>
          <w:kern w:val="2"/>
          <w:sz w:val="28"/>
          <w:szCs w:val="28"/>
          <w:lang w:val="en-US" w:eastAsia="zh-CN" w:bidi="ar-SA"/>
        </w:rPr>
      </w:pPr>
    </w:p>
    <w:sectPr>
      <w:headerReference r:id="rId3" w:type="default"/>
      <w:footerReference r:id="rId4" w:type="default"/>
      <w:pgSz w:w="11906" w:h="16838"/>
      <w:pgMar w:top="2098"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30BC3826"/>
    <w:rsid w:val="024F44B3"/>
    <w:rsid w:val="04697CC2"/>
    <w:rsid w:val="06F41C84"/>
    <w:rsid w:val="098A7CDE"/>
    <w:rsid w:val="0BC46F31"/>
    <w:rsid w:val="0C643807"/>
    <w:rsid w:val="119D71F9"/>
    <w:rsid w:val="11F748B7"/>
    <w:rsid w:val="12107727"/>
    <w:rsid w:val="125C2C63"/>
    <w:rsid w:val="139E3270"/>
    <w:rsid w:val="1C8966E6"/>
    <w:rsid w:val="1E562965"/>
    <w:rsid w:val="20743577"/>
    <w:rsid w:val="216D6BAB"/>
    <w:rsid w:val="22105521"/>
    <w:rsid w:val="238E4EA7"/>
    <w:rsid w:val="24F16E09"/>
    <w:rsid w:val="293C4856"/>
    <w:rsid w:val="2B2362C5"/>
    <w:rsid w:val="2BA44E76"/>
    <w:rsid w:val="2C197C46"/>
    <w:rsid w:val="2E5B2057"/>
    <w:rsid w:val="2EDE0482"/>
    <w:rsid w:val="30334530"/>
    <w:rsid w:val="30BC3826"/>
    <w:rsid w:val="32E77BD8"/>
    <w:rsid w:val="345F6138"/>
    <w:rsid w:val="352B46F4"/>
    <w:rsid w:val="368E3741"/>
    <w:rsid w:val="375141F8"/>
    <w:rsid w:val="397367C5"/>
    <w:rsid w:val="3C177780"/>
    <w:rsid w:val="3D632551"/>
    <w:rsid w:val="3F4166B3"/>
    <w:rsid w:val="439E16EA"/>
    <w:rsid w:val="4571704B"/>
    <w:rsid w:val="45EF2E24"/>
    <w:rsid w:val="48021F9D"/>
    <w:rsid w:val="4DDE5823"/>
    <w:rsid w:val="4F6C44E9"/>
    <w:rsid w:val="503F31DC"/>
    <w:rsid w:val="50F32112"/>
    <w:rsid w:val="52A64F62"/>
    <w:rsid w:val="53A8239A"/>
    <w:rsid w:val="55747599"/>
    <w:rsid w:val="57837B9E"/>
    <w:rsid w:val="588D597B"/>
    <w:rsid w:val="59080725"/>
    <w:rsid w:val="5DFB0858"/>
    <w:rsid w:val="5E9A0BB5"/>
    <w:rsid w:val="619B2A57"/>
    <w:rsid w:val="66753D68"/>
    <w:rsid w:val="69FC4993"/>
    <w:rsid w:val="6E1378E8"/>
    <w:rsid w:val="6F51652A"/>
    <w:rsid w:val="7270316B"/>
    <w:rsid w:val="76B73C11"/>
    <w:rsid w:val="76EF51D2"/>
    <w:rsid w:val="7EA67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rFonts w:ascii="宋体" w:hAnsi="Courier New"/>
      <w:sz w:val="18"/>
      <w:szCs w:val="20"/>
    </w:rPr>
  </w:style>
  <w:style w:type="paragraph" w:styleId="3">
    <w:name w:val="Body Text"/>
    <w:basedOn w:val="1"/>
    <w:next w:val="4"/>
    <w:autoRedefine/>
    <w:qFormat/>
    <w:uiPriority w:val="99"/>
    <w:pPr>
      <w:jc w:val="center"/>
    </w:pPr>
    <w:rPr>
      <w:sz w:val="52"/>
    </w:rPr>
  </w:style>
  <w:style w:type="paragraph" w:styleId="4">
    <w:name w:val="toc 5"/>
    <w:basedOn w:val="1"/>
    <w:next w:val="1"/>
    <w:autoRedefine/>
    <w:qFormat/>
    <w:uiPriority w:val="39"/>
    <w:pPr>
      <w:ind w:left="840"/>
      <w:jc w:val="left"/>
    </w:pPr>
    <w:rPr>
      <w:sz w:val="18"/>
      <w:szCs w:val="18"/>
    </w:rPr>
  </w:style>
  <w:style w:type="paragraph" w:styleId="5">
    <w:name w:val="Body Text Indent"/>
    <w:basedOn w:val="1"/>
    <w:autoRedefine/>
    <w:unhideWhenUsed/>
    <w:qFormat/>
    <w:uiPriority w:val="0"/>
    <w:pPr>
      <w:ind w:firstLine="640" w:firstLineChars="200"/>
    </w:pPr>
    <w:rPr>
      <w:kern w:val="0"/>
      <w:sz w:val="32"/>
    </w:rPr>
  </w:style>
  <w:style w:type="paragraph" w:styleId="6">
    <w:name w:val="Plain Text"/>
    <w:basedOn w:val="1"/>
    <w:autoRedefine/>
    <w:qFormat/>
    <w:uiPriority w:val="0"/>
    <w:rPr>
      <w:rFonts w:ascii="宋体" w:hAnsi="Courier New"/>
      <w:szCs w:val="20"/>
    </w:rPr>
  </w:style>
  <w:style w:type="paragraph" w:styleId="7">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widowControl/>
      <w:spacing w:before="100" w:beforeAutospacing="1" w:after="100" w:afterAutospacing="1"/>
      <w:jc w:val="left"/>
    </w:pPr>
    <w:rPr>
      <w:rFonts w:ascii="宋体" w:hAnsi="宋体"/>
      <w:kern w:val="0"/>
      <w:sz w:val="24"/>
      <w:szCs w:val="20"/>
    </w:rPr>
  </w:style>
  <w:style w:type="character" w:styleId="11">
    <w:name w:val="page number"/>
    <w:basedOn w:val="10"/>
    <w:autoRedefine/>
    <w:qFormat/>
    <w:uiPriority w:val="0"/>
  </w:style>
  <w:style w:type="paragraph" w:customStyle="1" w:styleId="12">
    <w:name w:val="引言二级条标题"/>
    <w:basedOn w:val="13"/>
    <w:next w:val="14"/>
    <w:qFormat/>
    <w:uiPriority w:val="0"/>
    <w:pPr>
      <w:ind w:left="0" w:firstLine="0"/>
    </w:pPr>
    <w:rPr>
      <w:rFonts w:eastAsia="宋体"/>
    </w:rPr>
  </w:style>
  <w:style w:type="paragraph" w:customStyle="1" w:styleId="13">
    <w:name w:val="引言一级条标题"/>
    <w:basedOn w:val="1"/>
    <w:next w:val="14"/>
    <w:autoRedefine/>
    <w:qFormat/>
    <w:uiPriority w:val="0"/>
    <w:pPr>
      <w:widowControl/>
      <w:spacing w:beforeAutospacing="1" w:afterAutospacing="1"/>
      <w:ind w:left="900" w:hanging="900"/>
    </w:pPr>
    <w:rPr>
      <w:rFonts w:eastAsia="黑体"/>
      <w:b/>
      <w:bCs/>
    </w:rPr>
  </w:style>
  <w:style w:type="paragraph" w:customStyle="1" w:styleId="14">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
    <w:name w:val="Fließtext"/>
    <w:basedOn w:val="1"/>
    <w:autoRedefine/>
    <w:qFormat/>
    <w:uiPriority w:val="99"/>
    <w:pPr>
      <w:overflowPunct w:val="0"/>
      <w:autoSpaceDE w:val="0"/>
      <w:autoSpaceDN w:val="0"/>
      <w:adjustRightInd w:val="0"/>
      <w:textAlignment w:val="baseline"/>
    </w:pPr>
    <w:rPr>
      <w:kern w:val="28"/>
      <w:szCs w:val="20"/>
    </w:rPr>
  </w:style>
  <w:style w:type="paragraph" w:customStyle="1" w:styleId="16">
    <w:name w:val="标准正文"/>
    <w:basedOn w:val="1"/>
    <w:autoRedefine/>
    <w:qFormat/>
    <w:uiPriority w:val="0"/>
    <w:pPr>
      <w:widowControl/>
      <w:spacing w:line="360" w:lineRule="auto"/>
      <w:ind w:firstLine="480" w:firstLineChars="200"/>
      <w:jc w:val="left"/>
    </w:pPr>
    <w:rPr>
      <w:rFonts w:ascii="Calibri" w:hAnsi="Calibri" w:eastAsia="宋体" w:cs="Times New Roman"/>
      <w:bCs/>
      <w:sz w:val="24"/>
      <w:szCs w:val="22"/>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3860</Words>
  <Characters>4093</Characters>
  <Lines>0</Lines>
  <Paragraphs>0</Paragraphs>
  <TotalTime>11</TotalTime>
  <ScaleCrop>false</ScaleCrop>
  <LinksUpToDate>false</LinksUpToDate>
  <CharactersWithSpaces>4510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2021-08-13T03:04:00Z</dcterms:created>
  <dc:creator>川爺</dc:creator>
  <cp:lastModifiedBy>WPS_255337488</cp:lastModifiedBy>
  <dcterms:modified xsi:type="dcterms:W3CDTF">2024-02-22T07:28:52Z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86AD54154E2F41EE9BEDEF7DE9E01C3C</vt:lpwstr>
  </property>
</Properties>
</file>