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pPr>
      <w:bookmarkStart w:id="0" w:name="_GoBack"/>
      <w:bookmarkEnd w:id="0"/>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件1</w:t>
      </w:r>
    </w:p>
    <w:p>
      <w:pPr>
        <w:pStyle w:val="18"/>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left="1959" w:leftChars="266" w:hanging="1400" w:hangingChars="5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ascii="宋体" w:hAnsi="宋体" w:eastAsia="宋体" w:cs="Times New Roman"/>
          <w:color w:val="auto"/>
          <w:kern w:val="2"/>
          <w:sz w:val="28"/>
          <w:szCs w:val="28"/>
          <w:u w:val="single"/>
          <w:lang w:val="en-US" w:eastAsia="zh-CN" w:bidi="ar-SA"/>
        </w:rPr>
        <w:t>河池市本级2014-2017年城市棚户区改造老虎山片区、人民厂片区项目专项审计服务</w:t>
      </w:r>
      <w:r>
        <w:rPr>
          <w:rFonts w:hint="default" w:ascii="宋体" w:hAnsi="宋体" w:eastAsia="宋体" w:cs="Times New Roman"/>
          <w:color w:val="auto"/>
          <w:kern w:val="2"/>
          <w:sz w:val="28"/>
          <w:szCs w:val="28"/>
          <w:lang w:val="en-US" w:eastAsia="zh-CN" w:bidi="ar-SA"/>
        </w:rPr>
        <w:br w:type="textWrapping"/>
      </w:r>
    </w:p>
    <w:p>
      <w:pPr>
        <w:spacing w:line="360" w:lineRule="auto"/>
        <w:ind w:firstLine="560" w:firstLineChars="200"/>
        <w:rPr>
          <w:rFonts w:hint="default" w:ascii="Arial" w:hAnsi="Arial" w:eastAsia="Arial" w:cs="Arial"/>
          <w:i w:val="0"/>
          <w:iCs w:val="0"/>
          <w:caps w:val="0"/>
          <w:color w:val="000000"/>
          <w:spacing w:val="0"/>
          <w:sz w:val="28"/>
          <w:szCs w:val="28"/>
          <w:u w:val="single"/>
          <w:shd w:val="clear" w:fill="FFFFFF"/>
          <w:lang w:val="en-US" w:eastAsia="zh-CN"/>
        </w:rPr>
      </w:pPr>
      <w:r>
        <w:rPr>
          <w:rFonts w:hint="eastAsia" w:ascii="宋体" w:hAnsi="宋体" w:eastAsia="宋体" w:cs="Times New Roman"/>
          <w:color w:val="auto"/>
          <w:kern w:val="2"/>
          <w:sz w:val="28"/>
          <w:szCs w:val="28"/>
          <w:highlight w:val="none"/>
          <w:lang w:val="en-US" w:eastAsia="zh-CN" w:bidi="ar-SA"/>
        </w:rPr>
        <w:t>项目编号：</w:t>
      </w:r>
      <w:r>
        <w:rPr>
          <w:rFonts w:hint="default" w:ascii="Arial" w:hAnsi="Arial" w:eastAsia="Arial" w:cs="Arial"/>
          <w:i w:val="0"/>
          <w:iCs w:val="0"/>
          <w:caps w:val="0"/>
          <w:color w:val="000000"/>
          <w:spacing w:val="0"/>
          <w:sz w:val="28"/>
          <w:szCs w:val="28"/>
          <w:u w:val="single"/>
          <w:shd w:val="clear" w:fill="FFFFFF"/>
          <w:lang w:val="en-US" w:eastAsia="zh-CN"/>
        </w:rPr>
        <w:t>HCCT2023208</w:t>
      </w:r>
      <w:r>
        <w:rPr>
          <w:rFonts w:hint="eastAsia" w:ascii="Arial" w:hAnsi="Arial" w:eastAsia="Arial" w:cs="Arial"/>
          <w:i w:val="0"/>
          <w:iCs w:val="0"/>
          <w:caps w:val="0"/>
          <w:color w:val="000000"/>
          <w:spacing w:val="0"/>
          <w:sz w:val="28"/>
          <w:szCs w:val="28"/>
          <w:u w:val="single"/>
          <w:shd w:val="clear" w:fill="FFFFFF"/>
          <w:lang w:val="en-US" w:eastAsia="zh-CN"/>
        </w:rPr>
        <w:t>23</w:t>
      </w:r>
      <w:r>
        <w:rPr>
          <w:rFonts w:hint="default" w:ascii="Arial" w:hAnsi="Arial" w:eastAsia="Arial" w:cs="Arial"/>
          <w:i w:val="0"/>
          <w:iCs w:val="0"/>
          <w:caps w:val="0"/>
          <w:color w:val="000000"/>
          <w:spacing w:val="0"/>
          <w:sz w:val="28"/>
          <w:szCs w:val="28"/>
          <w:u w:val="single"/>
          <w:shd w:val="clear" w:fill="FFFFFF"/>
          <w:lang w:val="en-US" w:eastAsia="zh-CN"/>
        </w:rPr>
        <w:t>号</w:t>
      </w:r>
    </w:p>
    <w:p>
      <w:pPr>
        <w:pStyle w:val="17"/>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jc w:val="center"/>
        <w:rPr>
          <w:rFonts w:hint="eastAsia" w:ascii="仿宋_GB2312" w:eastAsia="仿宋_GB2312"/>
          <w:b/>
          <w:bCs/>
          <w:color w:val="auto"/>
          <w:highlight w:val="none"/>
        </w:rPr>
      </w:pPr>
      <w:r>
        <w:rPr>
          <w:rFonts w:hint="eastAsia" w:ascii="宋体" w:hAnsi="宋体" w:eastAsia="宋体" w:cs="Times New Roman"/>
          <w:color w:val="auto"/>
          <w:kern w:val="2"/>
          <w:sz w:val="28"/>
          <w:szCs w:val="28"/>
          <w:highlight w:val="none"/>
          <w:lang w:val="en-US" w:eastAsia="zh-CN" w:bidi="ar-SA"/>
        </w:rPr>
        <w:t xml:space="preserve">               年    月    日</w:t>
      </w:r>
    </w:p>
    <w:p>
      <w:pPr>
        <w:rPr>
          <w:rFonts w:hint="eastAsia" w:ascii="仿宋_GB2312" w:eastAsia="仿宋_GB2312"/>
          <w:b/>
          <w:bCs/>
          <w:color w:val="auto"/>
          <w:highlight w:val="none"/>
        </w:rPr>
      </w:pPr>
    </w:p>
    <w:p>
      <w:pPr>
        <w:rPr>
          <w:rFonts w:hint="eastAsia" w:ascii="仿宋_GB2312" w:eastAsia="仿宋_GB2312"/>
          <w:b/>
          <w:bCs/>
          <w:color w:val="auto"/>
          <w:highlight w:val="none"/>
        </w:rPr>
      </w:pPr>
    </w:p>
    <w:p>
      <w:pPr>
        <w:rPr>
          <w:rFonts w:hint="eastAsia" w:ascii="仿宋_GB2312" w:eastAsia="仿宋_GB2312"/>
          <w:b/>
          <w:bCs/>
          <w:color w:val="auto"/>
          <w:highlight w:val="none"/>
        </w:rPr>
      </w:pPr>
    </w:p>
    <w:p>
      <w:pPr>
        <w:rPr>
          <w:rFonts w:hint="eastAsia" w:ascii="仿宋_GB2312" w:eastAsia="仿宋_GB2312"/>
          <w:b/>
          <w:bCs/>
          <w:color w:val="auto"/>
          <w:highlight w:val="none"/>
        </w:rPr>
      </w:pPr>
    </w:p>
    <w:p>
      <w:pPr>
        <w:rPr>
          <w:rFonts w:hint="eastAsia" w:ascii="仿宋_GB2312" w:eastAsia="仿宋_GB2312"/>
          <w:b/>
          <w:bCs/>
          <w:color w:val="auto"/>
          <w:highlight w:val="none"/>
        </w:rPr>
      </w:pPr>
    </w:p>
    <w:p>
      <w:pPr>
        <w:rPr>
          <w:rFonts w:hint="eastAsia" w:ascii="仿宋_GB2312" w:eastAsia="仿宋_GB2312"/>
          <w:b/>
          <w:bCs/>
          <w:color w:val="auto"/>
          <w:highlight w:val="none"/>
        </w:rPr>
      </w:pPr>
    </w:p>
    <w:p>
      <w:pPr>
        <w:rPr>
          <w:rFonts w:hint="eastAsia" w:ascii="仿宋_GB2312" w:eastAsia="仿宋_GB2312"/>
          <w:b/>
          <w:bCs/>
          <w:color w:val="auto"/>
          <w:highlight w:val="none"/>
        </w:rPr>
      </w:pPr>
    </w:p>
    <w:p>
      <w:pPr>
        <w:rPr>
          <w:rFonts w:hint="eastAsia" w:ascii="仿宋_GB2312" w:eastAsia="仿宋_GB2312"/>
          <w:b/>
          <w:bCs/>
          <w:color w:val="auto"/>
          <w:highlight w:val="none"/>
        </w:rPr>
      </w:pPr>
    </w:p>
    <w:p>
      <w:pPr>
        <w:rPr>
          <w:rFonts w:hint="eastAsia" w:ascii="仿宋_GB2312" w:eastAsia="仿宋_GB2312"/>
          <w:b/>
          <w:bCs/>
          <w:color w:val="auto"/>
          <w:highlight w:val="none"/>
        </w:rPr>
      </w:pPr>
    </w:p>
    <w:p>
      <w:pPr>
        <w:rPr>
          <w:rFonts w:hint="eastAsia" w:ascii="仿宋_GB2312" w:eastAsia="仿宋_GB2312"/>
          <w:b/>
          <w:bCs/>
          <w:color w:val="auto"/>
          <w:highlight w:val="none"/>
        </w:rPr>
      </w:pPr>
    </w:p>
    <w:p>
      <w:pPr>
        <w:rPr>
          <w:rFonts w:hint="eastAsia" w:ascii="仿宋_GB2312" w:eastAsia="仿宋_GB2312"/>
          <w:b/>
          <w:bCs/>
          <w:color w:val="auto"/>
          <w:highlight w:val="none"/>
          <w:lang w:val="en-US" w:eastAsia="zh-CN"/>
        </w:rPr>
      </w:pPr>
      <w:r>
        <w:rPr>
          <w:rFonts w:hint="eastAsia" w:ascii="仿宋_GB2312" w:eastAsia="仿宋_GB2312"/>
          <w:b/>
          <w:bCs/>
          <w:color w:val="auto"/>
          <w:highlight w:val="none"/>
          <w:lang w:val="en-US" w:eastAsia="zh-CN"/>
        </w:rPr>
        <w:t>注：</w:t>
      </w:r>
      <w:r>
        <w:rPr>
          <w:rFonts w:hint="default" w:ascii="仿宋_GB2312" w:eastAsia="仿宋_GB2312"/>
          <w:b/>
          <w:bCs/>
          <w:color w:val="auto"/>
          <w:highlight w:val="none"/>
          <w:lang w:val="en-US" w:eastAsia="zh-CN"/>
        </w:rPr>
        <w:t>有效报价</w:t>
      </w:r>
      <w:r>
        <w:rPr>
          <w:rFonts w:hint="eastAsia" w:ascii="仿宋_GB2312" w:eastAsia="仿宋_GB2312"/>
          <w:b/>
          <w:bCs/>
          <w:color w:val="auto"/>
          <w:highlight w:val="none"/>
          <w:lang w:val="en-US" w:eastAsia="zh-CN"/>
        </w:rPr>
        <w:t>：</w:t>
      </w:r>
      <w:r>
        <w:rPr>
          <w:rFonts w:hint="default" w:ascii="仿宋_GB2312" w:eastAsia="仿宋_GB2312"/>
          <w:b/>
          <w:bCs/>
          <w:color w:val="auto"/>
          <w:highlight w:val="none"/>
          <w:lang w:val="en-US" w:eastAsia="zh-CN"/>
        </w:rPr>
        <w:t>0&lt;报价&lt;</w:t>
      </w:r>
      <w:r>
        <w:rPr>
          <w:rFonts w:hint="eastAsia" w:ascii="仿宋_GB2312" w:eastAsia="仿宋_GB2312"/>
          <w:b/>
          <w:bCs/>
          <w:color w:val="auto"/>
          <w:highlight w:val="none"/>
          <w:lang w:val="en-US" w:eastAsia="zh-CN"/>
        </w:rPr>
        <w:t>300000.00</w:t>
      </w:r>
      <w:r>
        <w:rPr>
          <w:rFonts w:hint="default" w:ascii="仿宋_GB2312" w:eastAsia="仿宋_GB2312"/>
          <w:b/>
          <w:bCs/>
          <w:color w:val="auto"/>
          <w:highlight w:val="none"/>
          <w:lang w:val="en-US" w:eastAsia="zh-CN"/>
        </w:rPr>
        <w:t>元为有效报价</w:t>
      </w:r>
      <w:r>
        <w:rPr>
          <w:rFonts w:hint="eastAsia" w:ascii="仿宋_GB2312" w:eastAsia="仿宋_GB2312"/>
          <w:b/>
          <w:bCs/>
          <w:color w:val="auto"/>
          <w:highlight w:val="none"/>
          <w:lang w:val="en-US" w:eastAsia="zh-CN"/>
        </w:rPr>
        <w:t>，金额大小写要一致，否则无效。</w:t>
      </w:r>
    </w:p>
    <w:p>
      <w:pPr>
        <w:rPr>
          <w:rFonts w:hint="eastAsia" w:ascii="仿宋_GB2312" w:eastAsia="仿宋_GB2312"/>
          <w:color w:val="auto"/>
          <w:sz w:val="24"/>
          <w:szCs w:val="24"/>
          <w:highlight w:val="none"/>
          <w:lang w:val="en-US" w:eastAsia="zh-CN"/>
        </w:rPr>
      </w:pPr>
    </w:p>
    <w:p>
      <w:pPr>
        <w:rPr>
          <w:rFonts w:hint="eastAsia" w:ascii="仿宋_GB2312" w:eastAsia="仿宋_GB2312"/>
          <w:color w:val="auto"/>
          <w:sz w:val="24"/>
          <w:szCs w:val="24"/>
          <w:highlight w:val="none"/>
          <w:lang w:val="en-US" w:eastAsia="zh-CN"/>
        </w:rPr>
      </w:pPr>
    </w:p>
    <w:p>
      <w:pPr>
        <w:pStyle w:val="2"/>
        <w:rPr>
          <w:rFonts w:hint="eastAsia" w:ascii="仿宋_GB2312" w:eastAsia="仿宋_GB2312"/>
          <w:color w:val="auto"/>
          <w:sz w:val="24"/>
          <w:szCs w:val="24"/>
          <w:highlight w:val="none"/>
          <w:lang w:val="en-US" w:eastAsia="zh-CN"/>
        </w:rPr>
      </w:pPr>
    </w:p>
    <w:p>
      <w:pPr>
        <w:pStyle w:val="2"/>
        <w:rPr>
          <w:rFonts w:hint="eastAsia" w:ascii="仿宋_GB2312" w:eastAsia="仿宋_GB2312"/>
          <w:color w:val="auto"/>
          <w:sz w:val="24"/>
          <w:szCs w:val="24"/>
          <w:highlight w:val="none"/>
          <w:lang w:val="en-US" w:eastAsia="zh-CN"/>
        </w:rPr>
      </w:pPr>
    </w:p>
    <w:p>
      <w:pPr>
        <w:rPr>
          <w:rFonts w:hint="eastAsia" w:ascii="仿宋_GB2312" w:eastAsia="仿宋_GB2312"/>
          <w:color w:val="auto"/>
          <w:sz w:val="24"/>
          <w:szCs w:val="24"/>
          <w:highlight w:val="none"/>
          <w:lang w:val="en-US" w:eastAsia="zh-CN"/>
        </w:rPr>
      </w:pPr>
    </w:p>
    <w:p>
      <w:pPr>
        <w:rPr>
          <w:rFonts w:hint="eastAsia" w:ascii="宋体" w:hAnsi="宋体" w:eastAsia="宋体" w:cs="Times New Roman"/>
          <w:color w:val="auto"/>
          <w:kern w:val="2"/>
          <w:sz w:val="28"/>
          <w:szCs w:val="28"/>
          <w:lang w:val="en-US" w:eastAsia="zh-CN" w:bidi="ar-SA"/>
        </w:rPr>
      </w:pPr>
      <w:r>
        <w:rPr>
          <w:rFonts w:hint="eastAsia" w:ascii="仿宋_GB2312" w:eastAsia="仿宋_GB2312"/>
          <w:color w:val="auto"/>
          <w:sz w:val="24"/>
          <w:szCs w:val="24"/>
          <w:highlight w:val="none"/>
          <w:lang w:val="en-US" w:eastAsia="zh-CN"/>
        </w:rPr>
        <w:t xml:space="preserve">附件2   </w:t>
      </w:r>
      <w:r>
        <w:rPr>
          <w:rFonts w:hint="eastAsia" w:ascii="宋体" w:hAnsi="宋体" w:eastAsia="宋体" w:cs="Times New Roman"/>
          <w:color w:val="auto"/>
          <w:kern w:val="2"/>
          <w:sz w:val="28"/>
          <w:szCs w:val="28"/>
          <w:lang w:val="en-US" w:eastAsia="zh-CN" w:bidi="ar-SA"/>
        </w:rPr>
        <w:t>合同范本</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Times New Roman"/>
          <w:b/>
          <w:bCs/>
          <w:color w:val="auto"/>
          <w:kern w:val="2"/>
          <w:sz w:val="52"/>
          <w:szCs w:val="52"/>
          <w:lang w:val="en-US" w:eastAsia="zh-CN" w:bidi="ar-SA"/>
        </w:rPr>
      </w:pPr>
      <w:r>
        <w:rPr>
          <w:rFonts w:hint="eastAsia" w:ascii="宋体" w:hAnsi="宋体" w:eastAsia="宋体" w:cs="Times New Roman"/>
          <w:b/>
          <w:bCs/>
          <w:color w:val="auto"/>
          <w:kern w:val="2"/>
          <w:sz w:val="52"/>
          <w:szCs w:val="52"/>
          <w:lang w:val="en-US" w:eastAsia="zh-CN" w:bidi="ar-SA"/>
        </w:rPr>
        <w:t>审计业务约定书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Times New Roman"/>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甲方：</w:t>
      </w:r>
      <w:r>
        <w:rPr>
          <w:rFonts w:hint="eastAsia" w:ascii="宋体" w:hAnsi="宋体" w:eastAsia="宋体" w:cs="Times New Roman"/>
          <w:color w:val="auto"/>
          <w:kern w:val="2"/>
          <w:sz w:val="28"/>
          <w:szCs w:val="28"/>
          <w:u w:val="single"/>
          <w:lang w:val="en-US" w:eastAsia="zh-CN" w:bidi="ar-SA"/>
        </w:rPr>
        <w:t>河池市城乡建设投资集团有限公司</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乙方：</w:t>
      </w:r>
      <w:r>
        <w:rPr>
          <w:rFonts w:hint="eastAsia" w:ascii="宋体" w:hAnsi="宋体" w:eastAsia="宋体" w:cs="Times New Roman"/>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highlight w:val="none"/>
          <w:lang w:val="en-US" w:eastAsia="zh-CN" w:bidi="ar-SA"/>
        </w:rPr>
        <w:t>根据《中华人民共和国民法典》及相关法律规定，本着平等、自愿、诚实信用的原则，就甲方委托乙方对河池市城乡建设投资集团有限公司（以下简称河池城乡集团）的子公司河池市城市投资建设发展有限公司（以下简称河池城投）关于河池市本级2014-2017年城市棚户区改造老虎山片区、人民厂片区项目截</w:t>
      </w:r>
      <w:r>
        <w:rPr>
          <w:rFonts w:hint="eastAsia" w:ascii="宋体" w:hAnsi="宋体" w:eastAsia="宋体" w:cs="Times New Roman"/>
          <w:color w:val="auto"/>
          <w:kern w:val="2"/>
          <w:sz w:val="28"/>
          <w:szCs w:val="28"/>
          <w:lang w:val="en-US" w:eastAsia="zh-CN" w:bidi="ar-SA"/>
        </w:rPr>
        <w:t>止2022年12月31日的资金到位、使用情况以及棚改工程项目管理情况进行专项审计，并出具专项审计报告，经双方协商，达成以下约定：</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一、业务范围与审计目标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1.审核棚户区改造项目的资金来源及金额；</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2.审核棚户区改造专项资金的使用管理以及相关资料申报情况；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3.根据城市棚户区改造专项资金相关政策文件，对征迁补偿资金发放的真实合规情况进行核实（需进行入户调查，抽查率达60%以上）。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4.审查棚户区改造项目目标责任书内的项目基本建设程序的真实性、完整性、合规性。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5.棚改项目涉及到的征收拆迁项目拆迁费用、工作经费、不可预见费使用等方面进行审计。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6.棚户区改造项目资金结余情况及结余资金去向的情况进行审计。</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二、甲方的责任与义务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 甲方应当督促河池城投、河池市金城江区征拆办、河池市土储中心等与棚改项目相关单位履行相关责任和义务，以保证审计工作得以顺利进行。保证将知悉的可能对审计产生重大影响的重大事项及时告知乙方。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2．河池城投对建立健全内部控制，保证会计资料以及相关棚改项目资料的真实、合法、完整，保证审计清查充分披露有关信息和保护资产的安全完整承担全部责任。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3．及时为乙方的审计工作提供其所要求的全部会计资料和其他有关资料（在 2023年8月31日之前提供审计所需的全部资料），并保证所提供资料的真实性和完整性。如果在审计过程中需要补充资料，亦应及时提供），并保证所提供资料的真实性和完整性。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4．确保乙方不受限制地接触任何与审计有关的记录、文件和所需的其他信息。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5．甲方对其作出的与审计有关的声明予以书面确认。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6．为乙方派出的有关工作人员提供必要的工作条件和协助，主要事项将由乙方于外勤工作开始前提供清单。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7．乙方的审计不能减轻甲方的责任。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8. 甲方应当按本约定书的约定及时足额支付审计费用。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三、乙方的责任和义务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1．按照《中华人民共和国注册会计师法》、《中国注册会计师执业准则》等其他有关规定的要求进行审计，应于2023年11月30日前出具专项审计报告。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2．审计准则要求注册会计师遵守中国注册会计师职业道德守则。在执业过程中，乙方需要运用职业判断，保持执业怀疑。</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3．乙方有责任在审计报告中指明所发现的河池城投在重大方面没有按照审计清查相关规定编制资料且未按乙方的建议进行调整的事项。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4．除下列情况外，乙方应当对执行业务过程中知悉的甲方以及棚改项目相关单位予以保密：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（1）取得甲方的授权；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（2）根据法律法规的规定，为法律诉讼准备文件或提供证据，以及向监管机构报告发现的违反法规行为；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（3）接受行业协会和监管机构依法进行的质量检查；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（4）监管机构对乙方进行行政处罚（包括监管机构处罚前的调查、听证）以及乙方对此提起行政复议；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（5）法律法规、执业准则和职业道德规范规定的其他情形。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四、审计服务费及支付方式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1．根据2023年</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月</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日中标通知书，本次审计服务费用为人民币大写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元整（￥</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元)。乙方银行账户：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户    名：</w:t>
      </w:r>
      <w:r>
        <w:rPr>
          <w:rFonts w:hint="eastAsia" w:ascii="宋体" w:hAnsi="宋体" w:eastAsia="宋体" w:cs="Times New Roman"/>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开 户 行：</w:t>
      </w:r>
      <w:r>
        <w:rPr>
          <w:rFonts w:hint="eastAsia" w:ascii="宋体" w:hAnsi="宋体" w:eastAsia="宋体" w:cs="Times New Roman"/>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银行账号：</w:t>
      </w:r>
      <w:r>
        <w:rPr>
          <w:rFonts w:hint="eastAsia" w:ascii="宋体" w:hAnsi="宋体" w:eastAsia="宋体" w:cs="Times New Roman"/>
          <w:color w:val="auto"/>
          <w:kern w:val="2"/>
          <w:sz w:val="28"/>
          <w:szCs w:val="28"/>
          <w:u w:val="single"/>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支付方式：在合同签订后，乙方进场前，甲方按照签订的合同金额预付30%的审计服务费；在乙方出具审计报告初稿后甲方在七个工作日内支付合同金额40%的审计服务费；待乙方出具正式审计报告后甲方在七个工作日内支付余下合同金额30%的服务费。每次甲方支付服务费前，乙方应按照甲方要求开具等金额的增值税专用发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如果由于无法预见的原因，致使乙方从事本约定书所涉及的审计服务实际时间较本约定书签订时预计的时间有明显的增加或减少时，甲方和乙方应通过协商，相应调整本约定书第五条第 1 项下所述的审计费用。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如果由于无法预见的原因，致使乙方人员抵达甲方的工作现场后，本约定书所涉及的审计服务不再进行，甲方不得要求退还预付审计费用；如上述情况发生于乙方人员完成现场审计工作，并离开甲方的工作现场之后，甲方应另行向乙方支付剩余审计费用，并应于甲方收到乙方的收款通知之日起3日内支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5．与本次审计有关的其他费用（包括交通费、食宿费等）由乙方承担。</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五、审计报告和审计报告的使用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1．乙方按照《中国注册会计师审计准则第1501号——审计报告》和《中国注册会计师审计准则第1502号——非标准审计报告》规定的格式和类型出具审计报告。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2．乙方向甲方致送审计报告一式</w:t>
      </w:r>
      <w:r>
        <w:rPr>
          <w:rFonts w:hint="eastAsia" w:ascii="宋体" w:hAnsi="宋体" w:eastAsia="宋体" w:cs="Times New Roman"/>
          <w:color w:val="auto"/>
          <w:kern w:val="2"/>
          <w:sz w:val="28"/>
          <w:szCs w:val="28"/>
          <w:u w:val="single"/>
          <w:lang w:val="en-US" w:eastAsia="zh-CN" w:bidi="ar-SA"/>
        </w:rPr>
        <w:t xml:space="preserve"> 伍 </w:t>
      </w:r>
      <w:r>
        <w:rPr>
          <w:rFonts w:hint="eastAsia" w:ascii="宋体" w:hAnsi="宋体" w:eastAsia="宋体" w:cs="Times New Roman"/>
          <w:color w:val="auto"/>
          <w:kern w:val="2"/>
          <w:sz w:val="28"/>
          <w:szCs w:val="28"/>
          <w:lang w:val="en-US" w:eastAsia="zh-CN" w:bidi="ar-SA"/>
        </w:rPr>
        <w:t>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甲方在提交或对外公布审计报告时，不得修改乙方出具的审计报告及其后附的已审计财务报表。当甲方认为有必要修改会计数据、报表附注和所作的说明时，应当事先通知乙方，乙方将考虑有关的修改对审计报告的影响，必要时，将重新出具审计报告。</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六、本约定书的有效期间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本约定书自签署之日起生效，并在双方履行完毕本约定书约定的所有义务后终止。但其中</w:t>
      </w:r>
      <w:r>
        <w:rPr>
          <w:rFonts w:hint="eastAsia" w:ascii="宋体" w:hAnsi="宋体" w:eastAsia="宋体" w:cs="Times New Roman"/>
          <w:color w:val="auto"/>
          <w:kern w:val="2"/>
          <w:sz w:val="28"/>
          <w:szCs w:val="28"/>
          <w:highlight w:val="none"/>
          <w:lang w:val="en-US" w:eastAsia="zh-CN" w:bidi="ar-SA"/>
        </w:rPr>
        <w:t>第三4、五、八、九、十项并不因</w:t>
      </w:r>
      <w:r>
        <w:rPr>
          <w:rFonts w:hint="eastAsia" w:ascii="宋体" w:hAnsi="宋体" w:eastAsia="宋体" w:cs="Times New Roman"/>
          <w:color w:val="auto"/>
          <w:kern w:val="2"/>
          <w:sz w:val="28"/>
          <w:szCs w:val="28"/>
          <w:lang w:val="en-US" w:eastAsia="zh-CN" w:bidi="ar-SA"/>
        </w:rPr>
        <w:t>本约定书终止而失效。</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七、约定事项的变更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如果出现不可预见的情况，影响审计工作如期完成，或需要提前出具审计报告，甲方和乙方均可要求变更约定事项，但应及时通知对方，并由双方协商解决。</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八、终止条款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如果根据乙方的职业道德及其他有关专业职责、适用的法律法规或其他任何法定的要求，乙方认为已不适宜继续为甲方提供本约定书约定的审计服务时，乙方可以采取向甲方提出合理通知的方式终止履行本约定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2．在终止业务约定的情况下，乙方有权就其于本约定书终止之日前对约定的审计服务项目所做的工作收取合理的审计费用。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九、违约责任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甲方和乙方按照《中华人民共和国民法典》的规定承担违约责任。</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十、适用法律和争议解决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约定书的所有方面均应适用中华人民共和国法律进行解释并受其约束。本约定书履行地为乙方出具审计报告所在地，因本约定书所引起的或与本约定书有关的任何纠纷或争议（包括关于本约定书条款的存在、效力或终止，或无效之后果），双方选择以下第</w:t>
      </w:r>
      <w:r>
        <w:rPr>
          <w:rFonts w:hint="eastAsia" w:ascii="宋体" w:hAnsi="宋体" w:eastAsia="宋体" w:cs="Times New Roman"/>
          <w:color w:val="auto"/>
          <w:kern w:val="2"/>
          <w:sz w:val="28"/>
          <w:szCs w:val="28"/>
          <w:u w:val="single"/>
          <w:lang w:val="en-US" w:eastAsia="zh-CN" w:bidi="ar-SA"/>
        </w:rPr>
        <w:t>（1）</w:t>
      </w:r>
      <w:r>
        <w:rPr>
          <w:rFonts w:hint="eastAsia" w:ascii="宋体" w:hAnsi="宋体" w:eastAsia="宋体" w:cs="Times New Roman"/>
          <w:color w:val="auto"/>
          <w:kern w:val="2"/>
          <w:sz w:val="28"/>
          <w:szCs w:val="28"/>
          <w:lang w:val="en-US" w:eastAsia="zh-CN" w:bidi="ar-SA"/>
        </w:rPr>
        <w:t>种解决方式：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（1）有管辖权的人民法院提起诉讼；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（2）交仲裁委员会仲裁。</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十一、双方对其他有关事项的约定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本约定书一式肆份，甲方、乙方各执贰份，具有同等法律效力。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（以下无正文，本页为签章页）</w:t>
      </w: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54"/>
        <w:gridCol w:w="4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甲方名称：</w:t>
            </w:r>
            <w:r>
              <w:rPr>
                <w:rFonts w:hint="eastAsia" w:ascii="Times New Roman" w:hAnsi="Times New Roman"/>
                <w:color w:val="auto"/>
                <w:sz w:val="24"/>
                <w:highlight w:val="none"/>
                <w:lang w:val="en-US" w:eastAsia="zh-CN"/>
              </w:rPr>
              <w:t>河池市城乡建设投资集团有限公司</w:t>
            </w:r>
            <w:r>
              <w:rPr>
                <w:rFonts w:hint="eastAsia" w:asciiTheme="minorEastAsia" w:hAnsiTheme="minorEastAsia" w:cstheme="minorEastAsia"/>
                <w:color w:val="auto"/>
                <w:sz w:val="24"/>
                <w:highlight w:val="none"/>
              </w:rPr>
              <w:t>（盖章）</w:t>
            </w:r>
          </w:p>
        </w:tc>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乙方名称：</w:t>
            </w:r>
          </w:p>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3" w:hRule="atLeast"/>
          <w:jc w:val="center"/>
        </w:trPr>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法定代表人：</w:t>
            </w:r>
          </w:p>
        </w:tc>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法定代表人：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委托代理人：</w:t>
            </w:r>
          </w:p>
        </w:tc>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jc w:val="center"/>
        </w:trPr>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    址：河池市金城江区金碧路25号</w:t>
            </w:r>
          </w:p>
        </w:tc>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    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邮政编码：547000 </w:t>
            </w:r>
          </w:p>
        </w:tc>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cstheme="minorEastAsia"/>
                <w:color w:val="auto"/>
                <w:sz w:val="24"/>
                <w:highlight w:val="none"/>
              </w:rPr>
              <w:t>邮政编码：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cstheme="minorEastAsia"/>
                <w:color w:val="auto"/>
                <w:sz w:val="24"/>
                <w:highlight w:val="none"/>
              </w:rPr>
              <w:t>电    话：</w:t>
            </w:r>
          </w:p>
        </w:tc>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电    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经 办 人：</w:t>
            </w:r>
          </w:p>
        </w:tc>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经 办 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开户名称：</w:t>
            </w:r>
          </w:p>
        </w:tc>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开户名称：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开户银行：</w:t>
            </w:r>
          </w:p>
        </w:tc>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银行</w:t>
            </w:r>
            <w:r>
              <w:rPr>
                <w:rFonts w:hint="eastAsia" w:asciiTheme="minorEastAsia" w:hAnsiTheme="minorEastAsia" w:cstheme="minorEastAsia"/>
                <w:color w:val="auto"/>
                <w:sz w:val="24"/>
                <w:highlight w:val="none"/>
                <w:lang w:eastAsia="zh-CN"/>
              </w:rPr>
              <w:t>账</w:t>
            </w:r>
            <w:r>
              <w:rPr>
                <w:rFonts w:hint="eastAsia" w:asciiTheme="minorEastAsia" w:hAnsiTheme="minorEastAsia" w:cstheme="minorEastAsia"/>
                <w:color w:val="auto"/>
                <w:sz w:val="24"/>
                <w:highlight w:val="none"/>
              </w:rPr>
              <w:t>号：</w:t>
            </w:r>
          </w:p>
        </w:tc>
        <w:tc>
          <w:tcPr>
            <w:tcW w:w="445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银行</w:t>
            </w:r>
            <w:r>
              <w:rPr>
                <w:rFonts w:hint="eastAsia" w:asciiTheme="minorEastAsia" w:hAnsiTheme="minorEastAsia" w:cstheme="minorEastAsia"/>
                <w:color w:val="auto"/>
                <w:sz w:val="24"/>
                <w:highlight w:val="none"/>
                <w:lang w:eastAsia="zh-CN"/>
              </w:rPr>
              <w:t>账</w:t>
            </w:r>
            <w:r>
              <w:rPr>
                <w:rFonts w:hint="eastAsia" w:asciiTheme="minorEastAsia" w:hAnsiTheme="minorEastAsia" w:cstheme="minorEastAsia"/>
                <w:color w:val="auto"/>
                <w:sz w:val="24"/>
                <w:highlight w:val="none"/>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54" w:type="dxa"/>
            <w:tcBorders>
              <w:top w:val="single" w:color="auto" w:sz="4" w:space="0"/>
              <w:left w:val="single" w:color="auto" w:sz="4" w:space="0"/>
              <w:bottom w:val="single" w:color="auto" w:sz="4" w:space="0"/>
              <w:right w:val="single" w:color="auto" w:sz="4" w:space="0"/>
            </w:tcBorders>
          </w:tcPr>
          <w:p>
            <w:pPr>
              <w:spacing w:line="72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税号人识别号：</w:t>
            </w:r>
            <w:r>
              <w:rPr>
                <w:rFonts w:hint="eastAsia" w:ascii="Times New Roman" w:hAnsi="Times New Roman"/>
                <w:color w:val="auto"/>
                <w:sz w:val="24"/>
                <w:highlight w:val="none"/>
                <w:lang w:val="en-US" w:eastAsia="zh-CN"/>
              </w:rPr>
              <w:t>91451200MAA7AT2H7Q</w:t>
            </w:r>
          </w:p>
        </w:tc>
        <w:tc>
          <w:tcPr>
            <w:tcW w:w="44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cstheme="minorEastAsia"/>
                <w:color w:val="auto"/>
                <w:sz w:val="24"/>
                <w:highlight w:val="none"/>
              </w:rPr>
              <w:t>税号：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08"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日  期：202</w:t>
            </w:r>
            <w:r>
              <w:rPr>
                <w:rFonts w:hint="eastAsia" w:asciiTheme="minorEastAsia" w:hAnsiTheme="minorEastAsia" w:cstheme="minorEastAsia"/>
                <w:color w:val="auto"/>
                <w:sz w:val="24"/>
                <w:highlight w:val="none"/>
                <w:lang w:val="en-US" w:eastAsia="zh-CN"/>
              </w:rPr>
              <w:t>3</w:t>
            </w:r>
            <w:r>
              <w:rPr>
                <w:rFonts w:hint="eastAsia" w:asciiTheme="minorEastAsia" w:hAnsiTheme="minorEastAsia" w:cstheme="minorEastAsia"/>
                <w:color w:val="auto"/>
                <w:sz w:val="24"/>
                <w:highlight w:val="none"/>
              </w:rPr>
              <w:t>年</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cstheme="minorEastAsia"/>
                <w:color w:val="auto"/>
                <w:sz w:val="24"/>
                <w:highlight w:val="none"/>
              </w:rPr>
              <w:t>月</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cstheme="minorEastAsia"/>
                <w:color w:val="auto"/>
                <w:sz w:val="24"/>
                <w:highlight w:val="none"/>
              </w:rPr>
              <w:t>日</w:t>
            </w:r>
          </w:p>
        </w:tc>
      </w:tr>
    </w:tbl>
    <w:p>
      <w:pPr>
        <w:pStyle w:val="2"/>
        <w:rPr>
          <w:rFonts w:hint="eastAsia" w:ascii="宋体" w:hAnsi="宋体" w:eastAsia="宋体" w:cs="Times New Roman"/>
          <w:color w:val="auto"/>
          <w:kern w:val="2"/>
          <w:sz w:val="28"/>
          <w:szCs w:val="28"/>
          <w:lang w:val="en-US" w:eastAsia="zh-CN" w:bidi="ar-SA"/>
        </w:rPr>
        <w:sectPr>
          <w:headerReference r:id="rId3" w:type="default"/>
          <w:pgSz w:w="11906" w:h="16838"/>
          <w:pgMar w:top="2098" w:right="1474" w:bottom="1440"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宋体" w:hAnsi="宋体" w:eastAsia="宋体" w:cs="Times New Roman"/>
          <w:color w:val="auto"/>
          <w:kern w:val="2"/>
          <w:sz w:val="28"/>
          <w:szCs w:val="28"/>
          <w:lang w:val="en-US" w:eastAsia="zh-CN" w:bidi="ar-SA"/>
        </w:rPr>
      </w:pPr>
    </w:p>
    <w:sectPr>
      <w:headerReference r:id="rId4" w:type="default"/>
      <w:footerReference r:id="rId5"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D2B27"/>
    <w:multiLevelType w:val="singleLevel"/>
    <w:tmpl w:val="65AD2B2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E2A2904"/>
    <w:rsid w:val="02561278"/>
    <w:rsid w:val="073836D3"/>
    <w:rsid w:val="083640B7"/>
    <w:rsid w:val="08850B9A"/>
    <w:rsid w:val="098F3475"/>
    <w:rsid w:val="09CF6571"/>
    <w:rsid w:val="0DD57C43"/>
    <w:rsid w:val="15F81405"/>
    <w:rsid w:val="17BE7C25"/>
    <w:rsid w:val="18890233"/>
    <w:rsid w:val="1A253F8B"/>
    <w:rsid w:val="1BDD63F0"/>
    <w:rsid w:val="1DC53ABB"/>
    <w:rsid w:val="22A87507"/>
    <w:rsid w:val="265149CF"/>
    <w:rsid w:val="273A4EFF"/>
    <w:rsid w:val="29F216AC"/>
    <w:rsid w:val="2C3A38C6"/>
    <w:rsid w:val="2F221B16"/>
    <w:rsid w:val="2F805636"/>
    <w:rsid w:val="30A9101A"/>
    <w:rsid w:val="39210DC5"/>
    <w:rsid w:val="3CCA0439"/>
    <w:rsid w:val="3DAB63D2"/>
    <w:rsid w:val="433B32DD"/>
    <w:rsid w:val="45E24D55"/>
    <w:rsid w:val="4A1C2405"/>
    <w:rsid w:val="4B0B4F15"/>
    <w:rsid w:val="4BC13264"/>
    <w:rsid w:val="50CA4969"/>
    <w:rsid w:val="510905E6"/>
    <w:rsid w:val="51127929"/>
    <w:rsid w:val="567140C2"/>
    <w:rsid w:val="57FB7A45"/>
    <w:rsid w:val="5861785A"/>
    <w:rsid w:val="5D5757D7"/>
    <w:rsid w:val="5E023994"/>
    <w:rsid w:val="5E2A2904"/>
    <w:rsid w:val="5E2F405E"/>
    <w:rsid w:val="64460353"/>
    <w:rsid w:val="64D26B98"/>
    <w:rsid w:val="650D7059"/>
    <w:rsid w:val="6B023604"/>
    <w:rsid w:val="70842F25"/>
    <w:rsid w:val="714E0847"/>
    <w:rsid w:val="7E525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3"/>
    <w:basedOn w:val="1"/>
    <w:next w:val="1"/>
    <w:qFormat/>
    <w:uiPriority w:val="0"/>
    <w:pPr>
      <w:keepNext/>
      <w:keepLines/>
      <w:spacing w:line="413" w:lineRule="auto"/>
      <w:jc w:val="left"/>
      <w:outlineLvl w:val="2"/>
    </w:pPr>
    <w:rPr>
      <w:b/>
      <w:sz w:val="2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styleId="5">
    <w:name w:val="annotation text"/>
    <w:basedOn w:val="1"/>
    <w:qFormat/>
    <w:uiPriority w:val="0"/>
    <w:pPr>
      <w:jc w:val="left"/>
    </w:pPr>
  </w:style>
  <w:style w:type="paragraph" w:styleId="6">
    <w:name w:val="Body Text"/>
    <w:basedOn w:val="1"/>
    <w:next w:val="7"/>
    <w:qFormat/>
    <w:uiPriority w:val="0"/>
    <w:pPr>
      <w:spacing w:after="120"/>
    </w:pPr>
  </w:style>
  <w:style w:type="paragraph" w:styleId="7">
    <w:name w:val="toc 2"/>
    <w:basedOn w:val="1"/>
    <w:next w:val="1"/>
    <w:semiHidden/>
    <w:qFormat/>
    <w:uiPriority w:val="0"/>
    <w:pPr>
      <w:ind w:left="210"/>
      <w:jc w:val="left"/>
    </w:pPr>
    <w:rPr>
      <w:rFonts w:ascii="Times New Roman" w:hAnsi="Times New Roman"/>
      <w:smallCaps/>
      <w:sz w:val="20"/>
    </w:rPr>
  </w:style>
  <w:style w:type="paragraph" w:styleId="8">
    <w:name w:val="Plain Text"/>
    <w:basedOn w:val="1"/>
    <w:qFormat/>
    <w:uiPriority w:val="0"/>
    <w:rPr>
      <w:rFonts w:ascii="宋体" w:hAnsi="Courier New"/>
      <w:szCs w:val="20"/>
    </w:rPr>
  </w:style>
  <w:style w:type="paragraph" w:styleId="9">
    <w:name w:val="Body Text Indent 2"/>
    <w:basedOn w:val="1"/>
    <w:qFormat/>
    <w:uiPriority w:val="0"/>
    <w:pPr>
      <w:ind w:firstLine="561"/>
    </w:pPr>
    <w:rPr>
      <w:rFonts w:ascii="宋体" w:hAnsi="宋体"/>
      <w:kern w:val="0"/>
      <w:sz w:val="28"/>
    </w:rPr>
  </w:style>
  <w:style w:type="paragraph" w:styleId="10">
    <w:name w:val="footer"/>
    <w:basedOn w:val="1"/>
    <w:qFormat/>
    <w:uiPriority w:val="0"/>
    <w:pPr>
      <w:tabs>
        <w:tab w:val="center" w:pos="4153"/>
        <w:tab w:val="right" w:pos="8306"/>
      </w:tabs>
      <w:snapToGrid w:val="0"/>
      <w:jc w:val="left"/>
    </w:pPr>
    <w:rPr>
      <w:rFonts w:ascii="宋体" w:hAnsi="Courier New"/>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
    <w:name w:val="Fließtext"/>
    <w:basedOn w:val="1"/>
    <w:qFormat/>
    <w:uiPriority w:val="99"/>
    <w:pPr>
      <w:overflowPunct w:val="0"/>
      <w:autoSpaceDE w:val="0"/>
      <w:autoSpaceDN w:val="0"/>
      <w:adjustRightInd w:val="0"/>
      <w:textAlignment w:val="baseline"/>
    </w:pPr>
    <w:rPr>
      <w:kern w:val="28"/>
      <w:szCs w:val="20"/>
    </w:rPr>
  </w:style>
  <w:style w:type="character" w:customStyle="1" w:styleId="19">
    <w:name w:val="NormalCharacter"/>
    <w:qFormat/>
    <w:uiPriority w:val="0"/>
  </w:style>
  <w:style w:type="paragraph" w:customStyle="1" w:styleId="20">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引言二级条标题"/>
    <w:basedOn w:val="22"/>
    <w:next w:val="23"/>
    <w:qFormat/>
    <w:uiPriority w:val="0"/>
    <w:pPr>
      <w:ind w:left="0" w:firstLine="0"/>
    </w:pPr>
    <w:rPr>
      <w:rFonts w:eastAsia="宋体"/>
    </w:rPr>
  </w:style>
  <w:style w:type="paragraph" w:customStyle="1" w:styleId="22">
    <w:name w:val="引言一级条标题"/>
    <w:basedOn w:val="1"/>
    <w:next w:val="23"/>
    <w:qFormat/>
    <w:uiPriority w:val="0"/>
    <w:pPr>
      <w:widowControl/>
      <w:spacing w:beforeAutospacing="1" w:afterAutospacing="1"/>
      <w:ind w:left="900" w:hanging="900"/>
    </w:pPr>
    <w:rPr>
      <w:rFonts w:eastAsia="黑体"/>
      <w:b/>
      <w:bCs/>
    </w:rPr>
  </w:style>
  <w:style w:type="paragraph" w:customStyle="1" w:styleId="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4936</Words>
  <Characters>5168</Characters>
  <Lines>0</Lines>
  <Paragraphs>0</Paragraphs>
  <TotalTime>24</TotalTime>
  <ScaleCrop>false</ScaleCrop>
  <LinksUpToDate>false</LinksUpToDate>
  <CharactersWithSpaces>5636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2023-06-01T02:33:00Z</dcterms:created>
  <dc:creator>WPS_1035742416</dc:creator>
  <cp:lastModifiedBy>市城投集团综合办</cp:lastModifiedBy>
  <cp:lastPrinted>2023-07-26T10:00:00Z</cp:lastPrinted>
  <dcterms:modified xsi:type="dcterms:W3CDTF">2023-08-09T09:44:00Z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ACCD8F8862334FC282A65750250BFC10_13</vt:lpwstr>
  </property>
</Properties>
</file>