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auto"/>
          <w:sz w:val="52"/>
          <w:szCs w:val="52"/>
          <w:highlight w:val="none"/>
        </w:rPr>
      </w:pPr>
      <w:r>
        <w:rPr>
          <w:rFonts w:hint="eastAsia" w:ascii="方正小标宋简体" w:eastAsia="方正小标宋简体"/>
          <w:bCs/>
          <w:color w:val="auto"/>
          <w:sz w:val="52"/>
          <w:szCs w:val="52"/>
          <w:highlight w:val="none"/>
        </w:rPr>
        <w:t>报</w:t>
      </w:r>
      <w:r>
        <w:rPr>
          <w:rFonts w:hint="eastAsia" w:ascii="方正小标宋简体" w:eastAsia="方正小标宋简体"/>
          <w:bCs/>
          <w:color w:val="auto"/>
          <w:sz w:val="52"/>
          <w:szCs w:val="52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auto"/>
          <w:sz w:val="52"/>
          <w:szCs w:val="52"/>
          <w:highlight w:val="none"/>
        </w:rPr>
        <w:t>价</w:t>
      </w:r>
      <w:r>
        <w:rPr>
          <w:rFonts w:hint="eastAsia" w:ascii="方正小标宋简体" w:eastAsia="方正小标宋简体"/>
          <w:bCs/>
          <w:color w:val="auto"/>
          <w:sz w:val="52"/>
          <w:szCs w:val="52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color w:val="auto"/>
          <w:sz w:val="52"/>
          <w:szCs w:val="52"/>
          <w:highlight w:val="none"/>
        </w:rPr>
        <w:t>表</w:t>
      </w:r>
    </w:p>
    <w:p>
      <w:pPr>
        <w:pStyle w:val="7"/>
        <w:rPr>
          <w:rFonts w:ascii="宋体" w:hAnsi="宋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left"/>
        <w:rPr>
          <w:rFonts w:hint="default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（一）投标单位名称（公章）：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spacing w:line="560" w:lineRule="exact"/>
        <w:jc w:val="left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jc w:val="left"/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（二）项目名称：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>河池市宜州区北山镇规模化供水工程（便捷式检测设备）</w:t>
      </w:r>
    </w:p>
    <w:p>
      <w:pPr>
        <w:spacing w:line="600" w:lineRule="exact"/>
        <w:ind w:left="1280" w:hanging="1280" w:hanging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" w:eastAsia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（三）项目编号：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HCCT202320813号                    </w:t>
      </w:r>
    </w:p>
    <w:p>
      <w:pPr>
        <w:spacing w:line="560" w:lineRule="exact"/>
        <w:jc w:val="left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（四）报价：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280" w:firstLineChars="1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（1）便捷式余氯总氯检测仪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（小写）：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（大写）：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（2）便捷式浊度仪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（小写）：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（大写）：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</w:pPr>
    </w:p>
    <w:p>
      <w:pPr>
        <w:spacing w:line="560" w:lineRule="exact"/>
        <w:ind w:firstLine="4480" w:firstLineChars="16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日期：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          </w:t>
      </w:r>
    </w:p>
    <w:p>
      <w:pPr>
        <w:pStyle w:val="7"/>
        <w:rPr>
          <w:rFonts w:hint="eastAsia" w:ascii="仿宋_GB2312" w:eastAsia="仿宋_GB2312" w:cs="Times New Roman"/>
          <w:sz w:val="24"/>
          <w:szCs w:val="24"/>
        </w:rPr>
      </w:pPr>
    </w:p>
    <w:p>
      <w:pPr>
        <w:pStyle w:val="7"/>
        <w:rPr>
          <w:rFonts w:hint="eastAsia" w:ascii="仿宋_GB2312" w:eastAsia="仿宋_GB2312" w:cs="Times New Roman"/>
          <w:sz w:val="24"/>
          <w:szCs w:val="24"/>
        </w:rPr>
      </w:pPr>
    </w:p>
    <w:p>
      <w:pPr>
        <w:pStyle w:val="7"/>
        <w:rPr>
          <w:rFonts w:hint="eastAsia" w:ascii="仿宋_GB2312" w:eastAsia="仿宋_GB2312" w:cs="Times New Roman"/>
          <w:sz w:val="24"/>
          <w:szCs w:val="24"/>
          <w:lang w:eastAsia="zh-CN"/>
        </w:rPr>
      </w:pPr>
      <w:r>
        <w:rPr>
          <w:rFonts w:hint="eastAsia" w:ascii="仿宋_GB2312" w:eastAsia="仿宋_GB2312" w:cs="Times New Roman"/>
          <w:sz w:val="24"/>
          <w:szCs w:val="24"/>
        </w:rPr>
        <w:t>注：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便捷式余氯总氯检测仪</w:t>
      </w:r>
      <w:r>
        <w:rPr>
          <w:rFonts w:hint="eastAsia" w:ascii="仿宋_GB2312" w:eastAsia="仿宋_GB2312" w:cs="Times New Roman"/>
          <w:sz w:val="24"/>
          <w:szCs w:val="24"/>
        </w:rPr>
        <w:t>最高上限控制价为人民币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7000元，便捷式浊度仪上限控制价为20168元</w:t>
      </w:r>
      <w:r>
        <w:rPr>
          <w:rFonts w:hint="eastAsia" w:ascii="仿宋_GB2312" w:eastAsia="仿宋_GB2312" w:cs="Times New Roman"/>
          <w:sz w:val="24"/>
          <w:szCs w:val="24"/>
        </w:rPr>
        <w:t>，</w:t>
      </w: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报价</w:t>
      </w:r>
      <w:r>
        <w:rPr>
          <w:rFonts w:hint="eastAsia" w:ascii="仿宋_GB2312" w:eastAsia="仿宋_GB2312" w:cs="Times New Roman"/>
          <w:sz w:val="24"/>
          <w:szCs w:val="24"/>
        </w:rPr>
        <w:t>金额大小写要一致，否则无效。</w:t>
      </w:r>
    </w:p>
    <w:p>
      <w:pPr>
        <w:pStyle w:val="7"/>
        <w:rPr>
          <w:rFonts w:hint="eastAsia"/>
          <w:color w:val="auto"/>
          <w:highlight w:val="none"/>
          <w:lang w:val="en-US" w:eastAsia="zh-CN"/>
        </w:rPr>
        <w:sectPr>
          <w:footerReference r:id="rId3" w:type="default"/>
          <w:pgSz w:w="11906" w:h="16840"/>
          <w:pgMar w:top="2098" w:right="1474" w:bottom="1270" w:left="1587" w:header="720" w:footer="720" w:gutter="0"/>
          <w:pgNumType w:fmt="decimal" w:start="1"/>
          <w:cols w:space="720" w:num="1"/>
        </w:sectPr>
      </w:pPr>
    </w:p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 合同条款及格式</w:t>
      </w:r>
    </w:p>
    <w:p>
      <w:pPr>
        <w:spacing w:before="312" w:beforeLines="10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设备采购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合同</w:t>
      </w:r>
    </w:p>
    <w:p>
      <w:pPr>
        <w:spacing w:before="312" w:beforeLines="10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pacing w:val="4"/>
          <w:sz w:val="24"/>
          <w:szCs w:val="24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合同编号:</w:t>
      </w:r>
    </w:p>
    <w:p>
      <w:pPr>
        <w:spacing w:line="52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甲方：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>河池市城投城市运营管理有限公司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乙方：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根据《中华人民共和国民法典》及其有关法律法规，为明确甲乙双方的权利义务，结合双方实际情况，甲乙双方经友好协商，达成如下协议：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530"/>
        <w:gridCol w:w="1110"/>
        <w:gridCol w:w="915"/>
        <w:gridCol w:w="675"/>
        <w:gridCol w:w="780"/>
        <w:gridCol w:w="3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6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52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技术性能指标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pStyle w:val="22"/>
              <w:spacing w:before="0"/>
              <w:ind w:left="9" w:leftChars="0"/>
              <w:jc w:val="center"/>
              <w:rPr>
                <w:rFonts w:hint="eastAsia" w:asciiTheme="minorHAnsi" w:hAnsiTheme="minorHAnsi" w:eastAsiaTheme="minorEastAsia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2"/>
              <w:spacing w:before="0"/>
              <w:ind w:left="158" w:leftChars="0" w:right="151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便携式余氯总氯检测仪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spacing w:before="0"/>
              <w:ind w:left="106" w:leftChars="0" w:right="337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DR300</w:t>
            </w:r>
          </w:p>
        </w:tc>
        <w:tc>
          <w:tcPr>
            <w:tcW w:w="915" w:type="dxa"/>
            <w:vAlign w:val="center"/>
          </w:tcPr>
          <w:p>
            <w:pPr>
              <w:pStyle w:val="22"/>
              <w:spacing w:before="56"/>
              <w:ind w:left="0" w:leftChars="0" w:right="17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HACH</w:t>
            </w:r>
          </w:p>
        </w:tc>
        <w:tc>
          <w:tcPr>
            <w:tcW w:w="675" w:type="dxa"/>
            <w:vAlign w:val="center"/>
          </w:tcPr>
          <w:p>
            <w:pPr>
              <w:pStyle w:val="22"/>
              <w:spacing w:before="0"/>
              <w:ind w:left="0" w:leftChars="0"/>
              <w:jc w:val="center"/>
              <w:rPr>
                <w:rFonts w:hint="eastAsia" w:asciiTheme="minorHAnsi" w:hAnsiTheme="minorHAnsi" w:eastAsiaTheme="minorEastAsia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22"/>
              <w:spacing w:before="0"/>
              <w:ind w:left="10" w:leftChars="0"/>
              <w:jc w:val="center"/>
              <w:rPr>
                <w:rFonts w:hint="eastAsia" w:asciiTheme="minorHAnsi" w:hAnsiTheme="minorHAnsi" w:eastAsiaTheme="minorEastAsia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529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1、测量原理：DPD比色法；2、测量范围：0.02~2.00mg/L；0.1~8.0mg/L；3、测量波长：528±2 nm4、光源：LED；5、检测器：硅光电二极管；6、显示：LCD背光显示7、滤光器带宽：15nm；8、吸光度范围：0～2.5Abs；9、数据存储：50次10、仪器防护等级：IP67；11、CE认证12、重量：0.25kg系统配置：(1)标准配置：DR300比色计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余氯试剂1套，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比色皿，4节AAA碱性电池，便携箱，操作手册；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dxa"/>
            <w:vAlign w:val="center"/>
          </w:tcPr>
          <w:p>
            <w:pPr>
              <w:pStyle w:val="22"/>
              <w:spacing w:before="0"/>
              <w:ind w:left="9" w:leftChars="0"/>
              <w:jc w:val="center"/>
              <w:rPr>
                <w:rFonts w:hint="eastAsia" w:eastAsia="宋体" w:asciiTheme="minorHAnsi" w:hAnsiTheme="minorHAnsi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w w:val="99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2"/>
              <w:spacing w:before="0"/>
              <w:ind w:left="158" w:leftChars="0" w:right="151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便捷式浊度仪</w:t>
            </w:r>
          </w:p>
        </w:tc>
        <w:tc>
          <w:tcPr>
            <w:tcW w:w="1110" w:type="dxa"/>
            <w:vAlign w:val="center"/>
          </w:tcPr>
          <w:p>
            <w:pPr>
              <w:pStyle w:val="22"/>
              <w:spacing w:before="0"/>
              <w:ind w:left="106" w:leftChars="0" w:right="33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2100Q</w:t>
            </w:r>
          </w:p>
        </w:tc>
        <w:tc>
          <w:tcPr>
            <w:tcW w:w="915" w:type="dxa"/>
            <w:vAlign w:val="center"/>
          </w:tcPr>
          <w:p>
            <w:pPr>
              <w:pStyle w:val="22"/>
              <w:spacing w:before="56"/>
              <w:ind w:left="0" w:leftChars="0" w:right="17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HACH</w:t>
            </w:r>
          </w:p>
        </w:tc>
        <w:tc>
          <w:tcPr>
            <w:tcW w:w="675" w:type="dxa"/>
            <w:vAlign w:val="center"/>
          </w:tcPr>
          <w:p>
            <w:pPr>
              <w:pStyle w:val="22"/>
              <w:spacing w:before="0"/>
              <w:ind w:left="0" w:leftChars="0"/>
              <w:jc w:val="center"/>
              <w:rPr>
                <w:rFonts w:hint="eastAsia" w:asciiTheme="minorHAnsi" w:hAnsiTheme="minorHAnsi" w:eastAsiaTheme="minorEastAsia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套</w:t>
            </w:r>
          </w:p>
        </w:tc>
        <w:tc>
          <w:tcPr>
            <w:tcW w:w="780" w:type="dxa"/>
            <w:vAlign w:val="center"/>
          </w:tcPr>
          <w:p>
            <w:pPr>
              <w:pStyle w:val="22"/>
              <w:spacing w:before="0"/>
              <w:ind w:left="10" w:leftChars="0"/>
              <w:jc w:val="center"/>
              <w:rPr>
                <w:rFonts w:hint="eastAsia" w:asciiTheme="minorHAnsi" w:hAnsiTheme="minorHAnsi" w:eastAsiaTheme="minorEastAsia" w:cstheme="minorBidi"/>
                <w:w w:val="9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529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1、符合标准： 满足USEPA 方法180.1 的要求2、认证：CE认证3、光源：钨灯4、检测器：硅光电检测器5、测量范围：0~1000 NTU6、准确度：读数的± 2%+杂散光7、可重复性：读数的± 1%或者0.01NTU，取大者8、分辨率：在最低测量范围时为0.01NTU9、杂散光：&lt;0.02NTU10、具有信号平均功能11、双检测器光学系统，可消除色度、光波动、杂散光等的干扰12、具有多种语言选择，其中包括了中文13、具有屏幕在线帮助指引功能，使校准、验证等更简单14、USB数据传输，无需软件进行数据下载15、创新的RST（快速沉淀浊度）模式，即使样品发生快速沉淀，仍然能读出正确的浊度值。16、仪器防护等级：IP67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配置要求：1、主机（LPG439.01.00002）一台2、电池四粒3、2434706样品瓶一盒（6个）4、4707600油布一块5、126936硅油一瓶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浊度标液一套7、说明书一份</w:t>
            </w:r>
          </w:p>
        </w:tc>
      </w:tr>
    </w:tbl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二、交付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（一）交付时间：乙方应于本合同生效后7个工作日内将设备交付完毕。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（二）交付地点：广西壮族自治区河池市宜州区北山镇规模化供水工程项目厂区。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28"/>
          <w:szCs w:val="28"/>
        </w:rPr>
        <w:t>、付款方式：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甲方收到货物验收合格后，乙方提供全额正式发票给甲方，甲方15个工作日内一次性支付合同款。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乙方转账信息为：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户  名：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开户行：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账  号：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甲方开票信息为：91451200MA5Q4JRA7Q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开票名称：河池市城投城市运营管理有限公司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sz w:val="28"/>
          <w:szCs w:val="28"/>
        </w:rPr>
        <w:t>验收标准：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合同货物到达甲方指定现场后，甲方人员就合同规定的货物名称、型号、数量、外观、质量、技术资料等进行开箱检验。交货后10个工作日内甲方就乙方提供货物的质量及性能进行验收，如未验收则视为乙方提供的产品质量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现场检验时，如发现设备由于乙方原因有任何损坏、缺陷、短少或不符合合同中规定的质量标准和规范时，应做好记录，并由双方代表签字，各执一份，作为甲方向乙方提出修理或更换的依据；如果乙方委托甲方修理损坏的设备，所有修理设备的费用由乙方承担；如果非乙方原因或由于甲方原因，发现损坏或短缺，乙方在接到甲方通知后，应尽快提供或替换相应的部件，但费用由甲方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三）如双方代表在会同检验中对检验记录不能取得一致意见时，任何一方均可提请商品检验机构进行商检。商检机构出具的商检证书是具有法律效力的最终检验结果，对双方都有约束力，商检费用由责任方负担。</w:t>
      </w:r>
    </w:p>
    <w:p>
      <w:pPr>
        <w:widowControl/>
        <w:numPr>
          <w:ilvl w:val="0"/>
          <w:numId w:val="0"/>
        </w:numPr>
        <w:wordWrap/>
        <w:spacing w:beforeAutospacing="0" w:after="0" w:line="520" w:lineRule="exact"/>
        <w:ind w:firstLine="560" w:firstLineChars="200"/>
        <w:jc w:val="left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五、包装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乙方所交付的所有货物要有适合长途运输和多次搬运、装卸的坚固包装，不能造成运输过程中箱件破损、设备和零件散失。并应按设备特点，按需要分别加上防潮、防霉、防锈、防腐蚀等保护措施，以保证货物在没有任何。损坏和腐蚀的情况下安全运抵合同设备安装现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（二）乙方对包装箱内和捆内的各散装部件均应系加标签，注明合同号、主机名称、部件名称以及该部件在装配图中的位号、零件号。备件和工具除注明上述内容外，尚需注明“备件”或“工具”字样。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六、质量保证：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乙方所供货物必须是原厂合格产品，符合厂家出厂标准；保证货物是全新、未使用过的合格正品。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七、保修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（一）乙方保证不会因设备材料和工艺方面的缺陷，以及设计不完善而导致设备达不到技术规格要求。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（二）该设备及部件，从现场验收合格之日起，如在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年之内出现故障，乙方负责在收到甲方通知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>3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日内进行调换或修理，由此发生的费用均由乙方承担。如乙方不履行上述保修义务，则应承担甲方由此而引起的一切损失。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八、违约责任：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（一）由于发生不可抗力事件导致不能按时交货时，乙方免责，但乙方必须立即重新供货，否则每延迟一日按货款的万分之一进行赔偿。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（二）乙方逾期交货的，每逾期一天，应以合同价款为基数向甲方支付万分之五的违约金；超过30天的，甲方可以解除合同，乙方向甲方支付合同价款5%的违约金，若违约金低于甲方的实际损失，甲方还可另行向乙方追索。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九、解决合同纠纷方式：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因履行本合同发生的争议，由双方协调解决，协商不成可向河池市宜州区人民法院提起诉讼。诉讼期间，由甲方决定本合同是否继续履行。</w:t>
      </w:r>
    </w:p>
    <w:tbl>
      <w:tblPr>
        <w:tblStyle w:val="11"/>
        <w:tblpPr w:leftFromText="180" w:rightFromText="180" w:vertAnchor="text" w:horzAnchor="page" w:tblpX="1099" w:tblpY="1208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8"/>
        <w:gridCol w:w="3705"/>
        <w:gridCol w:w="1214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b/>
                <w:color w:val="000066"/>
              </w:rPr>
            </w:pPr>
            <w:r>
              <w:rPr>
                <w:rFonts w:ascii="宋体" w:hAnsi="宋体" w:cs="Arial"/>
                <w:b/>
                <w:color w:val="000066"/>
              </w:rPr>
              <w:t>甲</w:t>
            </w:r>
            <w:r>
              <w:rPr>
                <w:rFonts w:hint="eastAsia" w:ascii="宋体" w:hAnsi="宋体" w:cs="Arial"/>
                <w:b/>
                <w:color w:val="000066"/>
              </w:rPr>
              <w:t xml:space="preserve"> </w:t>
            </w:r>
            <w:r>
              <w:rPr>
                <w:rFonts w:ascii="宋体" w:hAnsi="宋体" w:cs="Arial"/>
                <w:b/>
                <w:color w:val="000066"/>
              </w:rPr>
              <w:t>方</w:t>
            </w:r>
          </w:p>
        </w:tc>
        <w:tc>
          <w:tcPr>
            <w:tcW w:w="3705" w:type="dxa"/>
            <w:noWrap w:val="0"/>
            <w:vAlign w:val="bottom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河池市城投城市运营管理有限公司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 xml:space="preserve">乙 </w:t>
            </w:r>
            <w:r>
              <w:rPr>
                <w:rFonts w:ascii="宋体" w:hAnsi="宋体" w:cs="Arial"/>
                <w:b/>
                <w:color w:val="000066"/>
              </w:rPr>
              <w:t>方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详细地址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广西河池市金城江区金碧路25号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详细地址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法定代表人</w:t>
            </w:r>
          </w:p>
        </w:tc>
        <w:tc>
          <w:tcPr>
            <w:tcW w:w="3705" w:type="dxa"/>
            <w:noWrap w:val="0"/>
            <w:vAlign w:val="bottom"/>
          </w:tcPr>
          <w:p>
            <w:pPr>
              <w:spacing w:line="560" w:lineRule="exact"/>
              <w:jc w:val="left"/>
              <w:rPr>
                <w:rFonts w:ascii="宋体" w:hAnsi="宋体" w:cs="Arial"/>
                <w:w w:val="150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法定代表人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1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联系电话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 w:cs="Arial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13317789055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联系电话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1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签订时间</w:t>
            </w:r>
          </w:p>
        </w:tc>
        <w:tc>
          <w:tcPr>
            <w:tcW w:w="3705" w:type="dxa"/>
            <w:noWrap w:val="0"/>
            <w:vAlign w:val="bottom"/>
          </w:tcPr>
          <w:p>
            <w:pPr>
              <w:spacing w:line="560" w:lineRule="exact"/>
              <w:jc w:val="left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  <w:b/>
                <w:color w:val="000066"/>
              </w:rPr>
            </w:pPr>
            <w:r>
              <w:rPr>
                <w:rFonts w:hint="eastAsia" w:ascii="宋体" w:hAnsi="宋体" w:cs="Arial"/>
                <w:b/>
                <w:color w:val="000066"/>
              </w:rPr>
              <w:t>签订时间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Arial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Arial" w:hAnsi="Arial" w:eastAsia="微软雅黑" w:cs="Arial"/>
          <w:b/>
          <w:spacing w:val="-12"/>
          <w:szCs w:val="21"/>
        </w:rPr>
      </w:pPr>
      <w:r>
        <w:rPr>
          <w:rFonts w:hint="eastAsia" w:ascii="黑体" w:hAnsi="黑体" w:eastAsia="黑体" w:cs="黑体"/>
          <w:sz w:val="28"/>
          <w:szCs w:val="28"/>
        </w:rPr>
        <w:t>十、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本合同一式两份，甲方、乙方双方各持一份，自双方签字确认并加盖公章后方可生效。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</w:p>
    <w:sectPr>
      <w:headerReference r:id="rId4" w:type="default"/>
      <w:footerReference r:id="rId5" w:type="default"/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B4018"/>
    <w:multiLevelType w:val="singleLevel"/>
    <w:tmpl w:val="713B4018"/>
    <w:lvl w:ilvl="0" w:tentative="0">
      <w:start w:val="1"/>
      <w:numFmt w:val="upperLetter"/>
      <w:pStyle w:val="5"/>
      <w:lvlText w:val="%1.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53944F5A"/>
    <w:rsid w:val="0052726E"/>
    <w:rsid w:val="02B9669E"/>
    <w:rsid w:val="03576C1A"/>
    <w:rsid w:val="049B7F96"/>
    <w:rsid w:val="09183888"/>
    <w:rsid w:val="0CE125CD"/>
    <w:rsid w:val="0D9E63DF"/>
    <w:rsid w:val="0EB95483"/>
    <w:rsid w:val="114A2981"/>
    <w:rsid w:val="191F46F3"/>
    <w:rsid w:val="203E3157"/>
    <w:rsid w:val="20623843"/>
    <w:rsid w:val="22A63D70"/>
    <w:rsid w:val="22F3650C"/>
    <w:rsid w:val="23FD0CBE"/>
    <w:rsid w:val="24EE1B49"/>
    <w:rsid w:val="25657549"/>
    <w:rsid w:val="27D84AB4"/>
    <w:rsid w:val="28476911"/>
    <w:rsid w:val="29D06CB4"/>
    <w:rsid w:val="2BC5112A"/>
    <w:rsid w:val="2D947006"/>
    <w:rsid w:val="2DA359FB"/>
    <w:rsid w:val="2EDB645A"/>
    <w:rsid w:val="341A0E58"/>
    <w:rsid w:val="39643D30"/>
    <w:rsid w:val="39CD01E2"/>
    <w:rsid w:val="3A3E0D7C"/>
    <w:rsid w:val="3A455068"/>
    <w:rsid w:val="3B854432"/>
    <w:rsid w:val="3BB014AF"/>
    <w:rsid w:val="3DC70D32"/>
    <w:rsid w:val="3E3C5849"/>
    <w:rsid w:val="3EF04AA9"/>
    <w:rsid w:val="42BF647C"/>
    <w:rsid w:val="431A331F"/>
    <w:rsid w:val="47AC1233"/>
    <w:rsid w:val="49117305"/>
    <w:rsid w:val="4EAD2033"/>
    <w:rsid w:val="51EE4687"/>
    <w:rsid w:val="53944F5A"/>
    <w:rsid w:val="559F27BF"/>
    <w:rsid w:val="56D6689A"/>
    <w:rsid w:val="577E66ED"/>
    <w:rsid w:val="59100357"/>
    <w:rsid w:val="60C018E5"/>
    <w:rsid w:val="616F7CA4"/>
    <w:rsid w:val="652A4208"/>
    <w:rsid w:val="6B234934"/>
    <w:rsid w:val="6B602C4E"/>
    <w:rsid w:val="6C0B610A"/>
    <w:rsid w:val="6C0E79A8"/>
    <w:rsid w:val="71CC1BF7"/>
    <w:rsid w:val="73025D8D"/>
    <w:rsid w:val="79483E82"/>
    <w:rsid w:val="7DE46BC8"/>
    <w:rsid w:val="7EF26BD5"/>
    <w:rsid w:val="7F5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qFormat/>
    <w:uiPriority w:val="0"/>
    <w:pPr>
      <w:keepNext/>
      <w:numPr>
        <w:ilvl w:val="0"/>
        <w:numId w:val="1"/>
      </w:numPr>
      <w:spacing w:line="360" w:lineRule="auto"/>
      <w:outlineLvl w:val="1"/>
    </w:pPr>
    <w:rPr>
      <w:b/>
      <w:sz w:val="24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引言二级条标题"/>
    <w:basedOn w:val="17"/>
    <w:next w:val="18"/>
    <w:qFormat/>
    <w:uiPriority w:val="0"/>
    <w:pPr>
      <w:ind w:left="0" w:firstLine="0"/>
    </w:pPr>
    <w:rPr>
      <w:rFonts w:eastAsia="宋体"/>
    </w:rPr>
  </w:style>
  <w:style w:type="paragraph" w:customStyle="1" w:styleId="17">
    <w:name w:val="引言一级条标题"/>
    <w:basedOn w:val="1"/>
    <w:next w:val="18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Calibri" w:hAnsi="Calibri" w:eastAsia="宋体" w:cs="Times New Roman"/>
      <w:bCs/>
      <w:sz w:val="24"/>
      <w:szCs w:val="22"/>
      <w:u w:val="single"/>
    </w:rPr>
  </w:style>
  <w:style w:type="paragraph" w:customStyle="1" w:styleId="20">
    <w:name w:val="正文_0"/>
    <w:next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文本_0"/>
    <w:basedOn w:val="20"/>
    <w:qFormat/>
    <w:uiPriority w:val="0"/>
    <w:pPr>
      <w:spacing w:after="120" w:afterLines="0"/>
    </w:pPr>
  </w:style>
  <w:style w:type="paragraph" w:customStyle="1" w:styleId="22">
    <w:name w:val="Table Paragraph"/>
    <w:basedOn w:val="1"/>
    <w:qFormat/>
    <w:uiPriority w:val="1"/>
    <w:pPr>
      <w:spacing w:before="40"/>
      <w:ind w:left="106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4047</Words>
  <Characters>4494</Characters>
  <Lines>0</Lines>
  <Paragraphs>0</Paragraphs>
  <TotalTime>22</TotalTime>
  <ScaleCrop>false</ScaleCrop>
  <LinksUpToDate>false</LinksUpToDate>
  <CharactersWithSpaces>5188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2022-05-05T07:27:00Z</dcterms:created>
  <dc:creator>第二工程公司</dc:creator>
  <cp:lastModifiedBy>河池市城投公司</cp:lastModifiedBy>
  <cp:lastPrinted>2023-06-05T01:27:00Z</cp:lastPrinted>
  <dcterms:modified xsi:type="dcterms:W3CDTF">2023-06-07T07:38:04Z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3821A56188F542CAB5C34BC9CC18EECB</vt:lpwstr>
  </property>
</Properties>
</file>