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eastAsia"/>
          <w:lang w:val="en-US" w:eastAsia="zh-CN"/>
        </w:rPr>
      </w:pPr>
    </w:p>
    <w:p>
      <w:pPr>
        <w:numPr>
          <w:ilvl w:val="0"/>
          <w:numId w:val="0"/>
        </w:numPr>
        <w:spacing w:line="360" w:lineRule="auto"/>
        <w:jc w:val="left"/>
        <w:rPr>
          <w:rFonts w:hint="default"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t>附件1</w:t>
      </w:r>
    </w:p>
    <w:p>
      <w:pPr>
        <w:pStyle w:val="12"/>
        <w:rPr>
          <w:rFonts w:hint="default"/>
          <w:color w:val="auto"/>
          <w:highlight w:val="none"/>
          <w:lang w:val="en-US" w:eastAsia="zh-CN"/>
        </w:rPr>
      </w:pPr>
    </w:p>
    <w:p>
      <w:pPr>
        <w:spacing w:line="360" w:lineRule="auto"/>
        <w:jc w:val="center"/>
        <w:rPr>
          <w:rFonts w:hint="eastAsia" w:ascii="宋体" w:hAnsi="宋体" w:eastAsia="宋体" w:cs="Times New Roman"/>
          <w:color w:val="auto"/>
          <w:kern w:val="2"/>
          <w:sz w:val="44"/>
          <w:szCs w:val="44"/>
          <w:highlight w:val="none"/>
          <w:lang w:val="en-US" w:eastAsia="zh-CN" w:bidi="ar-SA"/>
        </w:rPr>
      </w:pPr>
      <w:r>
        <w:rPr>
          <w:rFonts w:hint="eastAsia" w:ascii="宋体" w:hAnsi="宋体" w:eastAsia="宋体" w:cs="Times New Roman"/>
          <w:color w:val="auto"/>
          <w:kern w:val="2"/>
          <w:sz w:val="44"/>
          <w:szCs w:val="44"/>
          <w:highlight w:val="none"/>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default"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投标单位（公章）：</w:t>
      </w:r>
      <w:r>
        <w:rPr>
          <w:rFonts w:hint="eastAsia" w:ascii="宋体" w:hAnsi="宋体" w:eastAsia="宋体" w:cs="Times New Roman"/>
          <w:color w:val="auto"/>
          <w:kern w:val="2"/>
          <w:sz w:val="28"/>
          <w:szCs w:val="28"/>
          <w:highlight w:val="none"/>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left="1959" w:leftChars="266" w:hanging="1400" w:hangingChars="500"/>
        <w:rPr>
          <w:rFonts w:hint="default"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项目名称：</w:t>
      </w:r>
      <w:r>
        <w:rPr>
          <w:rFonts w:hint="eastAsia" w:hAnsi="宋体" w:eastAsia="宋体" w:cs="Times New Roman"/>
          <w:color w:val="auto"/>
          <w:sz w:val="28"/>
          <w:szCs w:val="28"/>
          <w:highlight w:val="none"/>
          <w:u w:val="single"/>
          <w:lang w:val="en-US" w:eastAsia="zh-CN"/>
        </w:rPr>
        <w:t>宜州新区物流产业园配套路网A号路（一期）工程（可行性研究报告评估）</w:t>
      </w:r>
    </w:p>
    <w:p>
      <w:pPr>
        <w:spacing w:line="360" w:lineRule="auto"/>
        <w:ind w:firstLine="3640" w:firstLineChars="1300"/>
        <w:rPr>
          <w:rFonts w:hint="default"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HCCT20220250号</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1680" w:firstLineChars="6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spacing w:line="360" w:lineRule="auto"/>
        <w:jc w:val="center"/>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年   月   日</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rPr>
          <w:rFonts w:hint="eastAsia" w:ascii="仿宋_GB2312" w:eastAsia="仿宋_GB2312"/>
          <w:b/>
          <w:bCs/>
          <w:color w:val="auto"/>
          <w:highlight w:val="none"/>
        </w:rPr>
      </w:pPr>
    </w:p>
    <w:p>
      <w:pPr>
        <w:rPr>
          <w:rFonts w:hint="eastAsia"/>
          <w:b/>
          <w:bCs/>
        </w:rPr>
      </w:pPr>
      <w:bookmarkStart w:id="1" w:name="_GoBack"/>
      <w:bookmarkEnd w:id="1"/>
      <w:r>
        <w:rPr>
          <w:rFonts w:hint="eastAsia" w:ascii="仿宋_GB2312" w:eastAsia="仿宋_GB2312"/>
          <w:b/>
          <w:bCs/>
          <w:color w:val="auto"/>
          <w:highlight w:val="none"/>
        </w:rPr>
        <w:t>注：最高上限控制价为</w:t>
      </w:r>
      <w:r>
        <w:rPr>
          <w:rFonts w:hint="eastAsia" w:ascii="仿宋_GB2312" w:eastAsia="仿宋_GB2312"/>
          <w:b/>
          <w:bCs/>
          <w:color w:val="auto"/>
          <w:highlight w:val="none"/>
          <w:lang w:val="en-US" w:eastAsia="zh-CN"/>
        </w:rPr>
        <w:t>人民币50800.00元</w:t>
      </w:r>
      <w:r>
        <w:rPr>
          <w:rFonts w:hint="eastAsia" w:ascii="仿宋_GB2312" w:eastAsia="仿宋_GB2312"/>
          <w:b/>
          <w:bCs/>
          <w:color w:val="auto"/>
          <w:highlight w:val="none"/>
        </w:rPr>
        <w:t>，金额大小写要一致，否则无效。</w:t>
      </w:r>
    </w:p>
    <w:p>
      <w:pPr>
        <w:pStyle w:val="12"/>
        <w:rPr>
          <w:rFonts w:hint="eastAsia"/>
          <w:color w:val="000000" w:themeColor="text1"/>
          <w:lang w:val="en-US" w:eastAsia="zh-CN"/>
          <w14:textFill>
            <w14:solidFill>
              <w14:schemeClr w14:val="tx1"/>
            </w14:solidFill>
          </w14:textFill>
        </w:rPr>
      </w:pPr>
    </w:p>
    <w:p>
      <w:pPr>
        <w:pStyle w:val="12"/>
        <w:rPr>
          <w:rFonts w:hint="eastAsia"/>
          <w:color w:val="000000" w:themeColor="text1"/>
          <w:lang w:val="en-US" w:eastAsia="zh-CN"/>
          <w14:textFill>
            <w14:solidFill>
              <w14:schemeClr w14:val="tx1"/>
            </w14:solidFill>
          </w14:textFill>
        </w:rPr>
      </w:pPr>
    </w:p>
    <w:p>
      <w:pPr>
        <w:pStyle w:val="12"/>
        <w:rPr>
          <w:rFonts w:hint="eastAsia"/>
          <w:color w:val="000000" w:themeColor="text1"/>
          <w:lang w:val="en-US" w:eastAsia="zh-CN"/>
          <w14:textFill>
            <w14:solidFill>
              <w14:schemeClr w14:val="tx1"/>
            </w14:solidFill>
          </w14:textFill>
        </w:rPr>
      </w:pPr>
    </w:p>
    <w:p>
      <w:pPr>
        <w:pStyle w:val="12"/>
        <w:rPr>
          <w:rFonts w:hint="eastAsia"/>
          <w:color w:val="000000" w:themeColor="text1"/>
          <w:lang w:val="en-US" w:eastAsia="zh-CN"/>
          <w14:textFill>
            <w14:solidFill>
              <w14:schemeClr w14:val="tx1"/>
            </w14:solidFill>
          </w14:textFill>
        </w:rPr>
      </w:pPr>
    </w:p>
    <w:p>
      <w:pPr>
        <w:pStyle w:val="12"/>
        <w:rPr>
          <w:rFonts w:hint="eastAsia"/>
          <w:color w:val="000000" w:themeColor="text1"/>
          <w:lang w:val="en-US" w:eastAsia="zh-CN"/>
          <w14:textFill>
            <w14:solidFill>
              <w14:schemeClr w14:val="tx1"/>
            </w14:solidFill>
          </w14:textFill>
        </w:rPr>
      </w:pPr>
    </w:p>
    <w:p>
      <w:pPr>
        <w:pStyle w:val="12"/>
        <w:rPr>
          <w:rFonts w:hint="eastAsia"/>
          <w:color w:val="000000" w:themeColor="text1"/>
          <w:lang w:val="en-US" w:eastAsia="zh-CN"/>
          <w14:textFill>
            <w14:solidFill>
              <w14:schemeClr w14:val="tx1"/>
            </w14:solidFill>
          </w14:textFill>
        </w:rPr>
      </w:pPr>
    </w:p>
    <w:p>
      <w:pPr>
        <w:numPr>
          <w:ilvl w:val="0"/>
          <w:numId w:val="0"/>
        </w:numPr>
        <w:spacing w:line="360" w:lineRule="auto"/>
        <w:jc w:val="left"/>
        <w:rPr>
          <w:rFonts w:hint="default"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t>附件2</w:t>
      </w:r>
    </w:p>
    <w:p>
      <w:pPr>
        <w:keepNext w:val="0"/>
        <w:keepLines w:val="0"/>
        <w:pageBreakBefore w:val="0"/>
        <w:kinsoku/>
        <w:wordWrap/>
        <w:overflowPunct/>
        <w:topLinePunct w:val="0"/>
        <w:bidi w:val="0"/>
        <w:spacing w:line="600" w:lineRule="exact"/>
        <w:jc w:val="center"/>
        <w:rPr>
          <w:rFonts w:ascii="Times New Roman" w:hAnsi="Times New Roman" w:eastAsia="华文中宋"/>
          <w:b/>
          <w:color w:val="000000"/>
          <w:sz w:val="36"/>
          <w:szCs w:val="36"/>
        </w:rPr>
      </w:pPr>
      <w:bookmarkStart w:id="0" w:name="_Hlk109214045"/>
      <w:r>
        <w:rPr>
          <w:rFonts w:hint="eastAsia" w:ascii="Times New Roman" w:hAnsi="Times New Roman" w:eastAsia="华文中宋"/>
          <w:b/>
          <w:color w:val="000000"/>
          <w:sz w:val="36"/>
          <w:szCs w:val="36"/>
        </w:rPr>
        <w:t>宜州新区物流产业园配套路网A号路（一期）工程咨询服务合同（可行性研究报告评估）</w:t>
      </w:r>
    </w:p>
    <w:bookmarkEnd w:id="0"/>
    <w:p>
      <w:pPr>
        <w:keepNext w:val="0"/>
        <w:keepLines w:val="0"/>
        <w:pageBreakBefore w:val="0"/>
        <w:kinsoku/>
        <w:wordWrap/>
        <w:overflowPunct/>
        <w:topLinePunct w:val="0"/>
        <w:autoSpaceDE w:val="0"/>
        <w:autoSpaceDN w:val="0"/>
        <w:bidi w:val="0"/>
        <w:adjustRightInd w:val="0"/>
        <w:spacing w:line="600" w:lineRule="exact"/>
        <w:rPr>
          <w:rFonts w:ascii="方正小标宋简体" w:hAnsi="宋体" w:eastAsia="方正小标宋简体"/>
          <w:color w:val="000000"/>
          <w:sz w:val="28"/>
        </w:rPr>
      </w:pPr>
    </w:p>
    <w:p>
      <w:pPr>
        <w:keepNext w:val="0"/>
        <w:keepLines w:val="0"/>
        <w:pageBreakBefore w:val="0"/>
        <w:kinsoku/>
        <w:wordWrap/>
        <w:overflowPunct/>
        <w:topLinePunct w:val="0"/>
        <w:autoSpaceDE w:val="0"/>
        <w:autoSpaceDN w:val="0"/>
        <w:bidi w:val="0"/>
        <w:adjustRightInd w:val="0"/>
        <w:spacing w:line="600" w:lineRule="exact"/>
        <w:rPr>
          <w:rFonts w:ascii="方正小标宋简体" w:hAnsi="宋体" w:eastAsia="方正小标宋简体"/>
          <w:color w:val="000000"/>
          <w:sz w:val="28"/>
        </w:rPr>
      </w:pPr>
    </w:p>
    <w:p>
      <w:pPr>
        <w:keepNext w:val="0"/>
        <w:keepLines w:val="0"/>
        <w:pageBreakBefore w:val="0"/>
        <w:kinsoku/>
        <w:wordWrap/>
        <w:overflowPunct/>
        <w:topLinePunct w:val="0"/>
        <w:autoSpaceDE w:val="0"/>
        <w:autoSpaceDN w:val="0"/>
        <w:bidi w:val="0"/>
        <w:adjustRightInd w:val="0"/>
        <w:spacing w:line="600" w:lineRule="exact"/>
        <w:rPr>
          <w:rFonts w:ascii="方正小标宋简体" w:hAnsi="宋体" w:eastAsia="方正小标宋简体"/>
          <w:color w:val="000000"/>
          <w:sz w:val="28"/>
        </w:rPr>
      </w:pPr>
    </w:p>
    <w:p>
      <w:pPr>
        <w:keepNext w:val="0"/>
        <w:keepLines w:val="0"/>
        <w:pageBreakBefore w:val="0"/>
        <w:kinsoku/>
        <w:wordWrap/>
        <w:overflowPunct/>
        <w:topLinePunct w:val="0"/>
        <w:autoSpaceDE w:val="0"/>
        <w:autoSpaceDN w:val="0"/>
        <w:bidi w:val="0"/>
        <w:adjustRightInd w:val="0"/>
        <w:spacing w:line="600" w:lineRule="exact"/>
        <w:rPr>
          <w:rFonts w:ascii="方正小标宋简体" w:hAnsi="宋体" w:eastAsia="方正小标宋简体"/>
          <w:color w:val="000000"/>
          <w:sz w:val="28"/>
        </w:rPr>
      </w:pPr>
    </w:p>
    <w:p>
      <w:pPr>
        <w:keepNext w:val="0"/>
        <w:keepLines w:val="0"/>
        <w:pageBreakBefore w:val="0"/>
        <w:kinsoku/>
        <w:wordWrap/>
        <w:overflowPunct/>
        <w:topLinePunct w:val="0"/>
        <w:bidi w:val="0"/>
        <w:spacing w:line="600" w:lineRule="exact"/>
        <w:jc w:val="left"/>
        <w:rPr>
          <w:rFonts w:ascii="方正小标宋简体" w:hAnsi="宋体" w:eastAsia="方正小标宋简体"/>
          <w:sz w:val="28"/>
          <w:szCs w:val="28"/>
        </w:rPr>
      </w:pPr>
    </w:p>
    <w:p>
      <w:pPr>
        <w:keepNext w:val="0"/>
        <w:keepLines w:val="0"/>
        <w:pageBreakBefore w:val="0"/>
        <w:kinsoku/>
        <w:wordWrap/>
        <w:overflowPunct/>
        <w:topLinePunct w:val="0"/>
        <w:bidi w:val="0"/>
        <w:spacing w:line="600" w:lineRule="exact"/>
        <w:jc w:val="left"/>
        <w:rPr>
          <w:rFonts w:ascii="方正小标宋简体" w:hAnsi="宋体" w:eastAsia="方正小标宋简体"/>
          <w:sz w:val="28"/>
          <w:szCs w:val="28"/>
        </w:rPr>
      </w:pPr>
    </w:p>
    <w:p>
      <w:pPr>
        <w:pStyle w:val="5"/>
        <w:keepNext w:val="0"/>
        <w:keepLines w:val="0"/>
        <w:pageBreakBefore w:val="0"/>
        <w:kinsoku/>
        <w:wordWrap/>
        <w:overflowPunct/>
        <w:topLinePunct w:val="0"/>
        <w:bidi w:val="0"/>
        <w:spacing w:line="600" w:lineRule="exact"/>
      </w:pPr>
    </w:p>
    <w:p>
      <w:pPr>
        <w:keepNext w:val="0"/>
        <w:keepLines w:val="0"/>
        <w:pageBreakBefore w:val="0"/>
        <w:kinsoku/>
        <w:wordWrap/>
        <w:overflowPunct/>
        <w:topLinePunct w:val="0"/>
        <w:bidi w:val="0"/>
        <w:spacing w:line="600" w:lineRule="exact"/>
        <w:jc w:val="left"/>
        <w:rPr>
          <w:rFonts w:ascii="方正小标宋简体" w:hAnsi="宋体" w:eastAsia="方正小标宋简体"/>
          <w:sz w:val="28"/>
          <w:szCs w:val="28"/>
        </w:rPr>
      </w:pPr>
    </w:p>
    <w:p>
      <w:pPr>
        <w:keepNext w:val="0"/>
        <w:keepLines w:val="0"/>
        <w:pageBreakBefore w:val="0"/>
        <w:kinsoku/>
        <w:wordWrap/>
        <w:overflowPunct/>
        <w:topLinePunct w:val="0"/>
        <w:bidi w:val="0"/>
        <w:spacing w:line="600" w:lineRule="exact"/>
        <w:jc w:val="left"/>
        <w:rPr>
          <w:rFonts w:ascii="方正小标宋简体" w:hAnsi="宋体" w:eastAsia="方正小标宋简体"/>
          <w:sz w:val="28"/>
          <w:szCs w:val="28"/>
        </w:rPr>
      </w:pPr>
    </w:p>
    <w:p>
      <w:pPr>
        <w:keepNext w:val="0"/>
        <w:keepLines w:val="0"/>
        <w:pageBreakBefore w:val="0"/>
        <w:kinsoku/>
        <w:wordWrap/>
        <w:overflowPunct/>
        <w:topLinePunct w:val="0"/>
        <w:bidi w:val="0"/>
        <w:spacing w:line="600" w:lineRule="exact"/>
        <w:jc w:val="left"/>
        <w:rPr>
          <w:rFonts w:ascii="方正小标宋简体" w:hAnsi="宋体" w:eastAsia="方正小标宋简体"/>
          <w:sz w:val="32"/>
          <w:szCs w:val="32"/>
        </w:rPr>
      </w:pPr>
    </w:p>
    <w:p>
      <w:pPr>
        <w:keepNext w:val="0"/>
        <w:keepLines w:val="0"/>
        <w:pageBreakBefore w:val="0"/>
        <w:kinsoku/>
        <w:wordWrap/>
        <w:overflowPunct/>
        <w:topLinePunct w:val="0"/>
        <w:bidi w:val="0"/>
        <w:spacing w:line="600" w:lineRule="exact"/>
        <w:ind w:firstLine="964" w:firstLineChars="300"/>
        <w:rPr>
          <w:rFonts w:hAnsi="宋体"/>
          <w:sz w:val="32"/>
          <w:szCs w:val="32"/>
          <w:u w:val="single"/>
        </w:rPr>
      </w:pPr>
      <w:r>
        <w:rPr>
          <w:rFonts w:hint="eastAsia" w:hAnsi="宋体"/>
          <w:b/>
          <w:bCs/>
          <w:sz w:val="32"/>
          <w:szCs w:val="32"/>
        </w:rPr>
        <w:t>委托人：</w:t>
      </w:r>
      <w:r>
        <w:rPr>
          <w:rFonts w:hint="eastAsia" w:hAnsi="宋体"/>
          <w:sz w:val="32"/>
          <w:szCs w:val="32"/>
          <w:u w:val="single"/>
        </w:rPr>
        <w:t xml:space="preserve">河池市城市投资建设发展有限公司  </w:t>
      </w:r>
    </w:p>
    <w:p>
      <w:pPr>
        <w:keepNext w:val="0"/>
        <w:keepLines w:val="0"/>
        <w:pageBreakBefore w:val="0"/>
        <w:kinsoku/>
        <w:wordWrap/>
        <w:overflowPunct/>
        <w:topLinePunct w:val="0"/>
        <w:bidi w:val="0"/>
        <w:spacing w:line="600" w:lineRule="exact"/>
        <w:ind w:firstLine="964" w:firstLineChars="300"/>
        <w:rPr>
          <w:rFonts w:hAnsi="宋体" w:eastAsia="宋体"/>
          <w:b/>
          <w:bCs/>
          <w:sz w:val="32"/>
          <w:szCs w:val="32"/>
          <w:u w:val="single"/>
        </w:rPr>
      </w:pPr>
      <w:r>
        <w:rPr>
          <w:rFonts w:hint="eastAsia" w:hAnsi="宋体"/>
          <w:b/>
          <w:bCs/>
          <w:sz w:val="32"/>
          <w:szCs w:val="32"/>
        </w:rPr>
        <w:t>受托人：</w:t>
      </w:r>
      <w:r>
        <w:rPr>
          <w:rFonts w:hint="eastAsia" w:hAnsi="宋体"/>
          <w:sz w:val="32"/>
          <w:szCs w:val="32"/>
          <w:u w:val="single"/>
        </w:rPr>
        <w:t xml:space="preserve">                                </w:t>
      </w:r>
    </w:p>
    <w:p>
      <w:pPr>
        <w:keepNext w:val="0"/>
        <w:keepLines w:val="0"/>
        <w:pageBreakBefore w:val="0"/>
        <w:kinsoku/>
        <w:wordWrap/>
        <w:overflowPunct/>
        <w:topLinePunct w:val="0"/>
        <w:bidi w:val="0"/>
        <w:spacing w:line="600" w:lineRule="exact"/>
        <w:jc w:val="left"/>
        <w:rPr>
          <w:rFonts w:ascii="黑体" w:hAnsi="黑体" w:eastAsia="黑体" w:cs="黑体"/>
          <w:b/>
          <w:sz w:val="32"/>
          <w:szCs w:val="32"/>
        </w:rPr>
      </w:pPr>
    </w:p>
    <w:p>
      <w:pPr>
        <w:keepNext w:val="0"/>
        <w:keepLines w:val="0"/>
        <w:pageBreakBefore w:val="0"/>
        <w:kinsoku/>
        <w:wordWrap/>
        <w:overflowPunct/>
        <w:topLinePunct w:val="0"/>
        <w:bidi w:val="0"/>
        <w:spacing w:before="156" w:beforeLines="50" w:line="600" w:lineRule="exact"/>
        <w:rPr>
          <w:rFonts w:ascii="宋体" w:hAnsi="宋体"/>
          <w:b/>
          <w:bCs/>
          <w:color w:val="000000"/>
          <w:sz w:val="30"/>
          <w:szCs w:val="30"/>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kinsoku/>
        <w:wordWrap/>
        <w:overflowPunct/>
        <w:topLinePunct w:val="0"/>
        <w:bidi w:val="0"/>
        <w:spacing w:before="156" w:beforeLines="50" w:line="600" w:lineRule="exact"/>
        <w:ind w:firstLine="723" w:firstLineChars="200"/>
        <w:jc w:val="center"/>
        <w:rPr>
          <w:rFonts w:ascii="宋体" w:hAnsi="宋体" w:eastAsia="宋体"/>
          <w:b/>
          <w:bCs/>
          <w:color w:val="000000"/>
          <w:sz w:val="36"/>
          <w:szCs w:val="36"/>
        </w:rPr>
      </w:pPr>
      <w:r>
        <w:rPr>
          <w:rFonts w:hint="eastAsia" w:ascii="宋体" w:hAnsi="宋体"/>
          <w:b/>
          <w:bCs/>
          <w:color w:val="000000"/>
          <w:sz w:val="36"/>
          <w:szCs w:val="36"/>
        </w:rPr>
        <w:t>宜州新区物流产业园配套路网A号路（一期）</w:t>
      </w:r>
      <w:r>
        <w:rPr>
          <w:rFonts w:hint="eastAsia" w:ascii="宋体" w:hAnsi="宋体" w:eastAsia="宋体"/>
          <w:b/>
          <w:bCs/>
          <w:color w:val="000000"/>
          <w:sz w:val="36"/>
          <w:szCs w:val="36"/>
        </w:rPr>
        <w:t>工程咨询服务合同（可行性研究报告评估）</w:t>
      </w:r>
    </w:p>
    <w:p>
      <w:pPr>
        <w:keepNext w:val="0"/>
        <w:keepLines w:val="0"/>
        <w:pageBreakBefore w:val="0"/>
        <w:tabs>
          <w:tab w:val="left" w:pos="0"/>
        </w:tabs>
        <w:kinsoku/>
        <w:wordWrap/>
        <w:overflowPunct/>
        <w:topLinePunct w:val="0"/>
        <w:bidi w:val="0"/>
        <w:spacing w:line="600" w:lineRule="exact"/>
        <w:jc w:val="left"/>
        <w:rPr>
          <w:rFonts w:ascii="宋体" w:hAnsi="宋体"/>
          <w:b/>
          <w:color w:val="000000"/>
          <w:sz w:val="28"/>
          <w:szCs w:val="28"/>
        </w:rPr>
      </w:pPr>
    </w:p>
    <w:p>
      <w:pPr>
        <w:keepNext w:val="0"/>
        <w:keepLines w:val="0"/>
        <w:pageBreakBefore w:val="0"/>
        <w:tabs>
          <w:tab w:val="left" w:pos="0"/>
        </w:tabs>
        <w:kinsoku/>
        <w:wordWrap/>
        <w:overflowPunct/>
        <w:topLinePunct w:val="0"/>
        <w:bidi w:val="0"/>
        <w:spacing w:line="600" w:lineRule="exact"/>
        <w:jc w:val="left"/>
        <w:rPr>
          <w:rFonts w:ascii="仿宋" w:hAnsi="仿宋" w:eastAsia="仿宋" w:cs="仿宋"/>
          <w:color w:val="000000"/>
          <w:sz w:val="32"/>
          <w:szCs w:val="32"/>
        </w:rPr>
      </w:pPr>
      <w:r>
        <w:rPr>
          <w:rFonts w:hint="eastAsia" w:ascii="仿宋" w:hAnsi="仿宋" w:eastAsia="仿宋" w:cs="仿宋"/>
          <w:b/>
          <w:color w:val="000000"/>
          <w:sz w:val="32"/>
          <w:szCs w:val="32"/>
        </w:rPr>
        <w:t>委托人（甲方）</w:t>
      </w:r>
      <w:r>
        <w:rPr>
          <w:rFonts w:hint="eastAsia" w:ascii="仿宋" w:hAnsi="仿宋" w:eastAsia="仿宋" w:cs="仿宋"/>
          <w:color w:val="000000"/>
          <w:sz w:val="32"/>
          <w:szCs w:val="32"/>
        </w:rPr>
        <w:t>：</w:t>
      </w:r>
      <w:r>
        <w:rPr>
          <w:rFonts w:hint="eastAsia" w:ascii="仿宋" w:hAnsi="仿宋" w:eastAsia="仿宋" w:cs="仿宋"/>
          <w:color w:val="000000"/>
          <w:sz w:val="32"/>
          <w:szCs w:val="32"/>
          <w:u w:val="single"/>
        </w:rPr>
        <w:t xml:space="preserve">河池市城市投资建设发展有限公司 </w:t>
      </w:r>
    </w:p>
    <w:p>
      <w:pPr>
        <w:keepNext w:val="0"/>
        <w:keepLines w:val="0"/>
        <w:pageBreakBefore w:val="0"/>
        <w:kinsoku/>
        <w:wordWrap/>
        <w:overflowPunct/>
        <w:topLinePunct w:val="0"/>
        <w:bidi w:val="0"/>
        <w:spacing w:line="600" w:lineRule="exact"/>
        <w:rPr>
          <w:rFonts w:ascii="仿宋" w:hAnsi="仿宋" w:eastAsia="仿宋" w:cs="仿宋"/>
          <w:bCs/>
          <w:color w:val="000000"/>
          <w:sz w:val="32"/>
          <w:szCs w:val="32"/>
          <w:u w:val="single"/>
        </w:rPr>
      </w:pPr>
      <w:r>
        <w:rPr>
          <w:rFonts w:hint="eastAsia" w:ascii="仿宋" w:hAnsi="仿宋" w:eastAsia="仿宋" w:cs="仿宋"/>
          <w:b/>
          <w:color w:val="000000"/>
          <w:sz w:val="32"/>
          <w:szCs w:val="32"/>
        </w:rPr>
        <w:t>受托人（乙方）</w:t>
      </w:r>
      <w:r>
        <w:rPr>
          <w:rFonts w:hint="eastAsia" w:ascii="仿宋" w:hAnsi="仿宋" w:eastAsia="仿宋" w:cs="仿宋"/>
          <w:bCs/>
          <w:sz w:val="32"/>
          <w:szCs w:val="32"/>
        </w:rPr>
        <w:t>：</w:t>
      </w:r>
      <w:r>
        <w:rPr>
          <w:rFonts w:hint="eastAsia" w:ascii="仿宋" w:hAnsi="仿宋" w:eastAsia="仿宋" w:cs="仿宋"/>
          <w:bCs/>
          <w:sz w:val="32"/>
          <w:szCs w:val="32"/>
          <w:u w:val="single"/>
        </w:rPr>
        <w:t xml:space="preserve">                               </w:t>
      </w:r>
    </w:p>
    <w:p>
      <w:pPr>
        <w:keepNext w:val="0"/>
        <w:keepLines w:val="0"/>
        <w:pageBreakBefore w:val="0"/>
        <w:kinsoku/>
        <w:wordWrap/>
        <w:overflowPunct/>
        <w:topLinePunct w:val="0"/>
        <w:bidi w:val="0"/>
        <w:spacing w:before="156" w:beforeLines="50" w:line="600" w:lineRule="exact"/>
        <w:ind w:firstLine="560" w:firstLineChars="200"/>
        <w:rPr>
          <w:rFonts w:hint="eastAsia" w:ascii="宋体" w:hAnsi="宋体" w:eastAsia="宋体" w:cs="宋体"/>
          <w:color w:val="000000"/>
          <w:sz w:val="32"/>
          <w:szCs w:val="32"/>
        </w:rPr>
      </w:pPr>
      <w:r>
        <w:rPr>
          <w:rFonts w:hint="eastAsia" w:ascii="宋体" w:hAnsi="宋体" w:eastAsia="宋体" w:cs="Times New Roman"/>
          <w:color w:val="auto"/>
          <w:kern w:val="2"/>
          <w:sz w:val="28"/>
          <w:szCs w:val="28"/>
          <w:lang w:val="en-US" w:eastAsia="zh-CN" w:bidi="ar-SA"/>
        </w:rPr>
        <w:t>依据《中华人民共和国民法典》及有关法律、法规，遵循平等、自愿、公平和诚实信用的原则，委托人与受托人就项目工程咨询事宜协商一致，订立本合同，供双方共同遵守。</w:t>
      </w:r>
    </w:p>
    <w:p>
      <w:pPr>
        <w:keepNext w:val="0"/>
        <w:keepLines w:val="0"/>
        <w:pageBreakBefore w:val="0"/>
        <w:widowControl w:val="0"/>
        <w:numPr>
          <w:ilvl w:val="0"/>
          <w:numId w:val="1"/>
        </w:numPr>
        <w:kinsoku/>
        <w:wordWrap/>
        <w:overflowPunct/>
        <w:topLinePunct w:val="0"/>
        <w:autoSpaceDE/>
        <w:autoSpaceDN/>
        <w:bidi w:val="0"/>
        <w:adjustRightInd/>
        <w:snapToGrid/>
        <w:spacing w:before="156" w:beforeLines="50" w:line="600" w:lineRule="exact"/>
        <w:ind w:firstLine="643" w:firstLineChars="200"/>
        <w:textAlignment w:val="auto"/>
        <w:rPr>
          <w:rFonts w:hint="eastAsia" w:ascii="宋体" w:hAnsi="宋体" w:eastAsia="宋体" w:cs="宋体"/>
          <w:b/>
          <w:color w:val="000000"/>
          <w:sz w:val="32"/>
          <w:szCs w:val="32"/>
        </w:rPr>
      </w:pPr>
      <w:r>
        <w:rPr>
          <w:rFonts w:hint="eastAsia" w:ascii="宋体" w:hAnsi="宋体" w:eastAsia="宋体" w:cs="宋体"/>
          <w:b/>
          <w:color w:val="000000"/>
          <w:sz w:val="32"/>
          <w:szCs w:val="32"/>
        </w:rPr>
        <w:t>项目概况</w:t>
      </w:r>
    </w:p>
    <w:p>
      <w:pPr>
        <w:keepNext w:val="0"/>
        <w:keepLines w:val="0"/>
        <w:pageBreakBefore w:val="0"/>
        <w:kinsoku/>
        <w:wordWrap/>
        <w:overflowPunct/>
        <w:topLinePunct w:val="0"/>
        <w:bidi w:val="0"/>
        <w:spacing w:before="156" w:beforeLines="50" w:line="600" w:lineRule="exact"/>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道路总长度1952米，规划控制红线宽度50米，双向六车道，设计时速60km/h，北起现状858县道，向南与和平大道、乐康路、环湖北路平交，终点至环湖北路以南，为一条城市主干路。建设内容有道路工程、桥涵工程、给排水工程、交通工程、智慧灯杆照明、绿化工程、电力通讯工程和海绵工程等，项目总投资约42918.56万元人民币。</w:t>
      </w:r>
    </w:p>
    <w:p>
      <w:pPr>
        <w:keepNext w:val="0"/>
        <w:keepLines w:val="0"/>
        <w:pageBreakBefore w:val="0"/>
        <w:kinsoku/>
        <w:wordWrap/>
        <w:overflowPunct/>
        <w:topLinePunct w:val="0"/>
        <w:bidi w:val="0"/>
        <w:spacing w:before="156" w:beforeLines="50" w:line="600" w:lineRule="exact"/>
        <w:ind w:firstLine="643" w:firstLineChars="200"/>
        <w:rPr>
          <w:rFonts w:hint="eastAsia" w:ascii="宋体" w:hAnsi="宋体" w:eastAsia="宋体" w:cs="宋体"/>
          <w:color w:val="000000"/>
          <w:sz w:val="32"/>
          <w:szCs w:val="32"/>
        </w:rPr>
      </w:pPr>
      <w:r>
        <w:rPr>
          <w:rFonts w:hint="eastAsia" w:ascii="宋体" w:hAnsi="宋体" w:eastAsia="宋体" w:cs="宋体"/>
          <w:b/>
          <w:color w:val="000000"/>
          <w:sz w:val="32"/>
          <w:szCs w:val="32"/>
        </w:rPr>
        <w:t>二、委托服务类别：</w:t>
      </w:r>
      <w:r>
        <w:rPr>
          <w:rFonts w:hint="eastAsia" w:ascii="宋体" w:hAnsi="宋体" w:eastAsia="宋体" w:cs="Times New Roman"/>
          <w:color w:val="auto"/>
          <w:kern w:val="2"/>
          <w:sz w:val="28"/>
          <w:szCs w:val="28"/>
          <w:lang w:val="en-US" w:eastAsia="zh-CN" w:bidi="ar-SA"/>
        </w:rPr>
        <w:t>可行性研究报告评估。</w:t>
      </w:r>
    </w:p>
    <w:p>
      <w:pPr>
        <w:keepNext w:val="0"/>
        <w:keepLines w:val="0"/>
        <w:pageBreakBefore w:val="0"/>
        <w:kinsoku/>
        <w:wordWrap/>
        <w:overflowPunct/>
        <w:topLinePunct w:val="0"/>
        <w:bidi w:val="0"/>
        <w:spacing w:before="156" w:beforeLines="50" w:line="600" w:lineRule="exact"/>
        <w:ind w:firstLine="643"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宋体"/>
          <w:b/>
          <w:color w:val="000000"/>
          <w:sz w:val="32"/>
          <w:szCs w:val="32"/>
        </w:rPr>
        <w:t>三、工程咨询服务计划工期：</w:t>
      </w:r>
      <w:r>
        <w:rPr>
          <w:rFonts w:hint="eastAsia" w:ascii="宋体" w:hAnsi="宋体" w:eastAsia="宋体" w:cs="Times New Roman"/>
          <w:color w:val="auto"/>
          <w:kern w:val="2"/>
          <w:sz w:val="28"/>
          <w:szCs w:val="28"/>
          <w:lang w:val="en-US" w:eastAsia="zh-CN" w:bidi="ar-SA"/>
        </w:rPr>
        <w:t>成果递交后7日内完成评估，并递交报告。</w:t>
      </w:r>
    </w:p>
    <w:p>
      <w:pPr>
        <w:pStyle w:val="3"/>
        <w:keepNext w:val="0"/>
        <w:keepLines w:val="0"/>
        <w:pageBreakBefore w:val="0"/>
        <w:kinsoku/>
        <w:wordWrap/>
        <w:overflowPunct/>
        <w:topLinePunct w:val="0"/>
        <w:bidi w:val="0"/>
        <w:spacing w:before="156" w:beforeLines="50" w:line="600" w:lineRule="exact"/>
        <w:ind w:firstLine="643"/>
        <w:rPr>
          <w:rFonts w:hint="eastAsia" w:ascii="宋体" w:hAnsi="宋体" w:eastAsia="宋体" w:cs="宋体"/>
          <w:color w:val="000000"/>
          <w:kern w:val="2"/>
          <w:szCs w:val="32"/>
        </w:rPr>
      </w:pPr>
      <w:r>
        <w:rPr>
          <w:rFonts w:hint="eastAsia" w:ascii="宋体" w:hAnsi="宋体" w:eastAsia="宋体" w:cs="宋体"/>
          <w:b/>
          <w:color w:val="000000"/>
          <w:szCs w:val="32"/>
        </w:rPr>
        <w:t>四、咨询</w:t>
      </w:r>
      <w:r>
        <w:rPr>
          <w:rFonts w:hint="eastAsia" w:ascii="宋体" w:hAnsi="宋体" w:eastAsia="宋体" w:cs="宋体"/>
          <w:b/>
          <w:color w:val="000000"/>
          <w:kern w:val="2"/>
          <w:szCs w:val="32"/>
        </w:rPr>
        <w:t>质量标准：</w:t>
      </w:r>
      <w:r>
        <w:rPr>
          <w:rFonts w:hint="eastAsia" w:ascii="宋体" w:hAnsi="宋体" w:eastAsia="宋体" w:cs="Times New Roman"/>
          <w:color w:val="auto"/>
          <w:kern w:val="2"/>
          <w:sz w:val="28"/>
          <w:szCs w:val="28"/>
          <w:lang w:val="en-US" w:eastAsia="zh-CN" w:bidi="ar-SA"/>
        </w:rPr>
        <w:t>达到国家及地方有关法律、法规、规范和行业协会规定的标准。受托人根据国家政策要求、市场经济规律要求，对咨询项目进行全面分析和必要的多方面论证，本着实事求是、客观公正、科学可靠的原则，提出工作深度和质量标准均符合相关要求的可行性研究报告评估，并通过主管部门批复。</w:t>
      </w:r>
    </w:p>
    <w:p>
      <w:pPr>
        <w:pStyle w:val="3"/>
        <w:keepNext w:val="0"/>
        <w:keepLines w:val="0"/>
        <w:pageBreakBefore w:val="0"/>
        <w:kinsoku/>
        <w:wordWrap/>
        <w:overflowPunct/>
        <w:topLinePunct w:val="0"/>
        <w:bidi w:val="0"/>
        <w:spacing w:before="156" w:beforeLines="50" w:line="600" w:lineRule="exact"/>
        <w:ind w:firstLine="643"/>
        <w:rPr>
          <w:rFonts w:hint="eastAsia" w:ascii="宋体" w:hAnsi="宋体" w:eastAsia="宋体" w:cs="Times New Roman"/>
          <w:color w:val="auto"/>
          <w:kern w:val="2"/>
          <w:sz w:val="28"/>
          <w:szCs w:val="28"/>
          <w:lang w:val="en-US" w:eastAsia="zh-CN" w:bidi="ar-SA"/>
        </w:rPr>
      </w:pPr>
      <w:r>
        <w:rPr>
          <w:rFonts w:hint="eastAsia" w:ascii="宋体" w:hAnsi="宋体" w:eastAsia="宋体" w:cs="宋体"/>
          <w:b/>
          <w:color w:val="000000"/>
          <w:kern w:val="2"/>
          <w:szCs w:val="32"/>
        </w:rPr>
        <w:t>五、成果文件数量：</w:t>
      </w:r>
      <w:r>
        <w:rPr>
          <w:rFonts w:hint="eastAsia" w:ascii="宋体" w:hAnsi="宋体" w:eastAsia="宋体" w:cs="Times New Roman"/>
          <w:color w:val="auto"/>
          <w:kern w:val="2"/>
          <w:sz w:val="28"/>
          <w:szCs w:val="28"/>
          <w:lang w:val="en-US" w:eastAsia="zh-CN" w:bidi="ar-SA"/>
        </w:rPr>
        <w:t>提供纸质工程咨询成果文件一式四份，电子版成果一份（光盘）。</w:t>
      </w:r>
    </w:p>
    <w:p>
      <w:pPr>
        <w:keepNext w:val="0"/>
        <w:keepLines w:val="0"/>
        <w:pageBreakBefore w:val="0"/>
        <w:kinsoku/>
        <w:wordWrap/>
        <w:overflowPunct/>
        <w:topLinePunct w:val="0"/>
        <w:bidi w:val="0"/>
        <w:spacing w:before="156" w:beforeLines="50" w:line="600" w:lineRule="exact"/>
        <w:ind w:firstLine="630" w:firstLineChars="196"/>
        <w:rPr>
          <w:rFonts w:hint="eastAsia" w:ascii="宋体" w:hAnsi="宋体" w:eastAsia="宋体" w:cs="宋体"/>
          <w:b/>
          <w:color w:val="000000"/>
          <w:sz w:val="32"/>
          <w:szCs w:val="32"/>
        </w:rPr>
      </w:pPr>
      <w:r>
        <w:rPr>
          <w:rFonts w:hint="eastAsia" w:ascii="宋体" w:hAnsi="宋体" w:eastAsia="宋体" w:cs="宋体"/>
          <w:b/>
          <w:color w:val="000000"/>
          <w:sz w:val="32"/>
          <w:szCs w:val="32"/>
        </w:rPr>
        <w:t>六、工程咨询服务费及其支付</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1、该项目工程咨询服务费为总价包干，工程咨询服务费为：人民币</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，其中咨询费：</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），税金：</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），其经费应视为乙方为完成本合同规定所需的全部费用，包括但不限于：服务费、编制费、调查与分析、方案汇报、组织评审和税金等。</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支付方式：本工程可行性研究报告通过地方行政主管部门批复后，甲方一次性付清款项给乙方。款项支付前，乙方应按照甲方的要求提交提供建设项目资金支出审批表、请款函、合同协议书及有效等额增值专用税发票（注：小规模纳税人税率为3%，一般纳税人税率为6%），否则甲方有权拒绝支付。</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3、双方签订合同后，在咨询工作进行期间，委托人要求终止、解除合同，受托人有权按照双方确认的工作进度比例得到已完成工作的咨询服务费。</w:t>
      </w:r>
    </w:p>
    <w:p>
      <w:pPr>
        <w:keepNext w:val="0"/>
        <w:keepLines w:val="0"/>
        <w:pageBreakBefore w:val="0"/>
        <w:kinsoku/>
        <w:wordWrap/>
        <w:overflowPunct/>
        <w:topLinePunct w:val="0"/>
        <w:bidi w:val="0"/>
        <w:spacing w:before="156" w:beforeLines="50" w:line="600" w:lineRule="exact"/>
        <w:ind w:firstLine="630" w:firstLineChars="196"/>
        <w:rPr>
          <w:rFonts w:hint="eastAsia" w:ascii="宋体" w:hAnsi="宋体" w:eastAsia="宋体" w:cs="宋体"/>
          <w:b/>
          <w:color w:val="000000"/>
          <w:sz w:val="32"/>
          <w:szCs w:val="32"/>
          <w:lang w:val="en-US" w:eastAsia="zh-CN"/>
        </w:rPr>
      </w:pPr>
      <w:r>
        <w:rPr>
          <w:rFonts w:hint="eastAsia" w:ascii="宋体" w:hAnsi="宋体" w:eastAsia="宋体" w:cs="宋体"/>
          <w:b/>
          <w:color w:val="000000"/>
          <w:sz w:val="32"/>
          <w:szCs w:val="32"/>
          <w:lang w:val="en-US" w:eastAsia="zh-CN"/>
        </w:rPr>
        <w:t>七、责任和义务</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（一）委托人责任和义务</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1、在不耽误项目进度的合理时间内，向受托人提供委托人所能获取的、与服务有关的一切资料（资料内容双方另行协商）。</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2、在双方商定的合理时间内，就受托人以书面形式提出的相关问题或要求协助办理的相关事宜，作出书面答复或响应。</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3、按本合同约定金额及时间向受托人支付咨询服务费。</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4、其他应由委托人完成的与项目相关事宜。</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（二）受托人的责任和义务</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1、制定项目咨询服务工作计划，成果递交后 7 日内完成评估工作，各阶段完成的成果均应报委托人审核。</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2、组织好执行咨询任务的项目组，熟悉咨询项目的情况、咨询任务及要求，尽可能地参与咨询服务工作，提出完成咨询任务拟采取的方式、方法和步骤。</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3、与委托人及其它与项目有关的部门或人员及时交流、密切合作。</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4、严格按国家有关规定的标准、方式和程序完成咨询工作，以确保咨询成果的质量,并对所提交报告的质量负责。</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5、按照合同要求时间提交咨询成果。</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6、对咨询成果出现的错误或遗漏负责修改或完善，不另行收费。</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7、因履约不合格或要求终止、解除合同，应赔偿委托人的损失。</w:t>
      </w:r>
    </w:p>
    <w:p>
      <w:pPr>
        <w:keepNext w:val="0"/>
        <w:keepLines w:val="0"/>
        <w:pageBreakBefore w:val="0"/>
        <w:kinsoku/>
        <w:wordWrap/>
        <w:overflowPunct/>
        <w:topLinePunct w:val="0"/>
        <w:bidi w:val="0"/>
        <w:adjustRightInd w:val="0"/>
        <w:snapToGrid w:val="0"/>
        <w:spacing w:before="156" w:beforeLines="50" w:line="600" w:lineRule="exact"/>
        <w:ind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八、保密</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keepNext w:val="0"/>
        <w:keepLines w:val="0"/>
        <w:pageBreakBefore w:val="0"/>
        <w:kinsoku/>
        <w:wordWrap/>
        <w:overflowPunct/>
        <w:topLinePunct w:val="0"/>
        <w:bidi w:val="0"/>
        <w:adjustRightInd w:val="0"/>
        <w:snapToGrid w:val="0"/>
        <w:spacing w:before="156" w:beforeLines="50" w:line="600" w:lineRule="exact"/>
        <w:ind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九</w:t>
      </w:r>
      <w:r>
        <w:rPr>
          <w:rFonts w:hint="eastAsia" w:ascii="宋体" w:hAnsi="宋体" w:eastAsia="宋体" w:cs="宋体"/>
          <w:b/>
          <w:color w:val="000000"/>
          <w:sz w:val="32"/>
          <w:szCs w:val="32"/>
          <w:lang w:eastAsia="zh-CN"/>
        </w:rPr>
        <w:t>、</w:t>
      </w:r>
      <w:r>
        <w:rPr>
          <w:rFonts w:hint="eastAsia" w:ascii="宋体" w:hAnsi="宋体" w:eastAsia="宋体" w:cs="宋体"/>
          <w:b/>
          <w:color w:val="000000"/>
          <w:sz w:val="32"/>
          <w:szCs w:val="32"/>
        </w:rPr>
        <w:t>违约责任</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（一）委托方的违约责任</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1、委托方违反约定，不能按时提供技术资料或工作条件或提供技术资料不准确，导致受托方无法按期完成并提交咨询成果的，受托方有权按延误的时间予以顺延。</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2、委托方因故要求中途终止合同时，应及时书面通知受托方。若受托方已开展工作，委托方应按受托方实际完成的工作量支付相应的咨询费。</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3、委托方未在约定时间内支付本合同咨询费用的，从应付咨询费用的次日起计算，每延误一天，向受托方按应付费用的0.2‰支付违约金。</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（二）受托方的违约责任</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受托方未按合同约定日期提交咨询成果时，受托方从应提交日期的次日起计算，每延误一天，向委托方赔偿应收合同金额的__2__%，作为违约金，逾期超过10日的，委托方有权解除合同并拒绝向受托方支付任何费用，受托方已收款项退回委托方。</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2、受托方故意或重大过失，提供错误或不合格信息而导致委托方损失的，受托方有责任采取补救措施，并按实际情况赔偿委托方因此而造成的直接损失，同时，向委托方赔偿该合同金额的20%，作为违约金。</w:t>
      </w:r>
    </w:p>
    <w:p>
      <w:pPr>
        <w:pStyle w:val="3"/>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受托方违反本合同约定，委托方有权解除合同，受托方应返还已收取的咨询费用，并另行支付合同咨询总费用20%的违约金，同时委托方因维权所产生的诉讼费、保全费、保全保险费、鉴定费、律师费等损失由受托方承担。</w:t>
      </w:r>
    </w:p>
    <w:p>
      <w:pPr>
        <w:keepNext w:val="0"/>
        <w:keepLines w:val="0"/>
        <w:pageBreakBefore w:val="0"/>
        <w:kinsoku/>
        <w:wordWrap/>
        <w:overflowPunct/>
        <w:topLinePunct w:val="0"/>
        <w:bidi w:val="0"/>
        <w:adjustRightInd w:val="0"/>
        <w:snapToGrid w:val="0"/>
        <w:spacing w:before="156" w:beforeLines="50" w:line="600" w:lineRule="exact"/>
        <w:ind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lang w:val="en-US" w:eastAsia="zh-CN"/>
        </w:rPr>
        <w:t>十</w:t>
      </w:r>
      <w:r>
        <w:rPr>
          <w:rFonts w:hint="eastAsia" w:ascii="宋体" w:hAnsi="宋体" w:eastAsia="宋体" w:cs="宋体"/>
          <w:b/>
          <w:color w:val="000000"/>
          <w:sz w:val="32"/>
          <w:szCs w:val="32"/>
        </w:rPr>
        <w:t>、争议解决方式</w:t>
      </w:r>
    </w:p>
    <w:p>
      <w:pPr>
        <w:pStyle w:val="3"/>
        <w:keepNext w:val="0"/>
        <w:keepLines w:val="0"/>
        <w:pageBreakBefore w:val="0"/>
        <w:kinsoku/>
        <w:wordWrap/>
        <w:overflowPunct/>
        <w:topLinePunct w:val="0"/>
        <w:bidi w:val="0"/>
        <w:spacing w:line="600" w:lineRule="exact"/>
        <w:rPr>
          <w:rFonts w:hint="eastAsia" w:ascii="宋体" w:hAnsi="宋体" w:eastAsia="宋体" w:cs="宋体"/>
          <w:color w:val="000000"/>
          <w:szCs w:val="32"/>
        </w:rPr>
      </w:pPr>
      <w:r>
        <w:rPr>
          <w:rFonts w:hint="eastAsia" w:ascii="宋体" w:hAnsi="宋体" w:eastAsia="宋体" w:cs="Times New Roman"/>
          <w:color w:val="auto"/>
          <w:kern w:val="2"/>
          <w:sz w:val="28"/>
          <w:szCs w:val="28"/>
          <w:lang w:val="en-US" w:eastAsia="zh-CN" w:bidi="ar-SA"/>
        </w:rPr>
        <w:t>合同订立双方发生争议，应及时协商解决，也可由当地有关部门调解，调解不成时，通过</w:t>
      </w:r>
      <w:r>
        <w:rPr>
          <w:rFonts w:hint="eastAsia" w:ascii="宋体" w:hAnsi="宋体" w:eastAsia="宋体" w:cs="Times New Roman"/>
          <w:color w:val="auto"/>
          <w:kern w:val="2"/>
          <w:sz w:val="28"/>
          <w:szCs w:val="28"/>
          <w:u w:val="single"/>
          <w:lang w:val="en-US" w:eastAsia="zh-CN" w:bidi="ar-SA"/>
        </w:rPr>
        <w:t>项目所在地</w:t>
      </w:r>
      <w:r>
        <w:rPr>
          <w:rFonts w:hint="eastAsia" w:ascii="宋体" w:hAnsi="宋体" w:eastAsia="宋体" w:cs="Times New Roman"/>
          <w:color w:val="auto"/>
          <w:kern w:val="2"/>
          <w:sz w:val="28"/>
          <w:szCs w:val="28"/>
          <w:lang w:val="en-US" w:eastAsia="zh-CN" w:bidi="ar-SA"/>
        </w:rPr>
        <w:t>的人民法院诉讼解决。</w:t>
      </w:r>
    </w:p>
    <w:p>
      <w:pPr>
        <w:keepNext w:val="0"/>
        <w:keepLines w:val="0"/>
        <w:pageBreakBefore w:val="0"/>
        <w:kinsoku/>
        <w:wordWrap/>
        <w:overflowPunct/>
        <w:topLinePunct w:val="0"/>
        <w:bidi w:val="0"/>
        <w:adjustRightInd w:val="0"/>
        <w:snapToGrid w:val="0"/>
        <w:spacing w:before="156" w:beforeLines="50" w:line="600" w:lineRule="exact"/>
        <w:ind w:firstLine="643" w:firstLineChars="200"/>
        <w:rPr>
          <w:rFonts w:hint="eastAsia" w:ascii="宋体" w:hAnsi="宋体" w:eastAsia="宋体" w:cs="宋体"/>
          <w:b/>
          <w:color w:val="000000"/>
          <w:sz w:val="32"/>
          <w:szCs w:val="32"/>
        </w:rPr>
      </w:pPr>
      <w:r>
        <w:rPr>
          <w:rFonts w:hint="eastAsia" w:ascii="宋体" w:hAnsi="宋体" w:eastAsia="宋体" w:cs="宋体"/>
          <w:b/>
          <w:color w:val="000000"/>
          <w:sz w:val="32"/>
          <w:szCs w:val="32"/>
        </w:rPr>
        <w:t>十</w:t>
      </w:r>
      <w:r>
        <w:rPr>
          <w:rFonts w:hint="eastAsia" w:ascii="宋体" w:hAnsi="宋体" w:eastAsia="宋体" w:cs="宋体"/>
          <w:b/>
          <w:color w:val="000000"/>
          <w:sz w:val="32"/>
          <w:szCs w:val="32"/>
          <w:lang w:val="en-US" w:eastAsia="zh-CN"/>
        </w:rPr>
        <w:t>一</w:t>
      </w:r>
      <w:r>
        <w:rPr>
          <w:rFonts w:hint="eastAsia" w:ascii="宋体" w:hAnsi="宋体" w:eastAsia="宋体" w:cs="宋体"/>
          <w:b/>
          <w:color w:val="000000"/>
          <w:sz w:val="32"/>
          <w:szCs w:val="32"/>
        </w:rPr>
        <w:t>、合同生效及其他</w:t>
      </w:r>
    </w:p>
    <w:p>
      <w:pPr>
        <w:pStyle w:val="3"/>
        <w:keepNext w:val="0"/>
        <w:keepLines w:val="0"/>
        <w:pageBreakBefore w:val="0"/>
        <w:kinsoku/>
        <w:wordWrap/>
        <w:overflowPunct/>
        <w:topLinePunct w:val="0"/>
        <w:bidi w:val="0"/>
        <w:spacing w:line="600" w:lineRule="exac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1、乙方为本合同项目的服务至通过主管部门及发改委批复为止。 </w:t>
      </w:r>
    </w:p>
    <w:p>
      <w:pPr>
        <w:pStyle w:val="3"/>
        <w:keepNext w:val="0"/>
        <w:keepLines w:val="0"/>
        <w:pageBreakBefore w:val="0"/>
        <w:kinsoku/>
        <w:wordWrap/>
        <w:overflowPunct/>
        <w:topLinePunct w:val="0"/>
        <w:bidi w:val="0"/>
        <w:spacing w:line="600" w:lineRule="exac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2、由于不可抗力因素致使合同无法履行时，双方应及时协商解决。</w:t>
      </w:r>
    </w:p>
    <w:p>
      <w:pPr>
        <w:pStyle w:val="3"/>
        <w:keepNext w:val="0"/>
        <w:keepLines w:val="0"/>
        <w:pageBreakBefore w:val="0"/>
        <w:kinsoku/>
        <w:wordWrap/>
        <w:overflowPunct/>
        <w:topLinePunct w:val="0"/>
        <w:bidi w:val="0"/>
        <w:spacing w:line="600" w:lineRule="exac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3、本合同双方签字盖章即生效，一式</w:t>
      </w:r>
      <w:r>
        <w:rPr>
          <w:rFonts w:hint="eastAsia" w:ascii="宋体" w:hAnsi="宋体" w:eastAsia="宋体" w:cs="Times New Roman"/>
          <w:color w:val="auto"/>
          <w:kern w:val="2"/>
          <w:sz w:val="28"/>
          <w:szCs w:val="28"/>
          <w:u w:val="single"/>
          <w:lang w:val="en-US" w:eastAsia="zh-CN" w:bidi="ar-SA"/>
        </w:rPr>
        <w:t xml:space="preserve"> 4 </w:t>
      </w:r>
      <w:r>
        <w:rPr>
          <w:rFonts w:hint="eastAsia" w:ascii="宋体" w:hAnsi="宋体" w:eastAsia="宋体" w:cs="Times New Roman"/>
          <w:color w:val="auto"/>
          <w:kern w:val="2"/>
          <w:sz w:val="28"/>
          <w:szCs w:val="28"/>
          <w:lang w:val="en-US" w:eastAsia="zh-CN" w:bidi="ar-SA"/>
        </w:rPr>
        <w:t>份，甲、乙双方各执2份。</w:t>
      </w:r>
    </w:p>
    <w:p>
      <w:pPr>
        <w:pStyle w:val="3"/>
        <w:keepNext w:val="0"/>
        <w:keepLines w:val="0"/>
        <w:pageBreakBefore w:val="0"/>
        <w:kinsoku/>
        <w:wordWrap/>
        <w:overflowPunct/>
        <w:topLinePunct w:val="0"/>
        <w:bidi w:val="0"/>
        <w:spacing w:line="600" w:lineRule="exac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4、双方履行完合同规定的义务后，本合同即行终止。</w:t>
      </w:r>
    </w:p>
    <w:p>
      <w:pPr>
        <w:pStyle w:val="3"/>
        <w:keepNext w:val="0"/>
        <w:keepLines w:val="0"/>
        <w:pageBreakBefore w:val="0"/>
        <w:kinsoku/>
        <w:wordWrap/>
        <w:overflowPunct/>
        <w:topLinePunct w:val="0"/>
        <w:bidi w:val="0"/>
        <w:spacing w:line="600" w:lineRule="exac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5、未尽事宜，经双方协商一致，签订补充协议，补充协议与本合同具有同等效力。</w:t>
      </w:r>
    </w:p>
    <w:p>
      <w:pPr>
        <w:keepNext w:val="0"/>
        <w:keepLines w:val="0"/>
        <w:pageBreakBefore w:val="0"/>
        <w:kinsoku/>
        <w:wordWrap/>
        <w:overflowPunct/>
        <w:topLinePunct w:val="0"/>
        <w:bidi w:val="0"/>
        <w:spacing w:line="600" w:lineRule="exact"/>
        <w:jc w:val="center"/>
        <w:rPr>
          <w:rFonts w:hint="eastAsia" w:ascii="宋体" w:hAnsi="宋体" w:eastAsia="宋体" w:cs="宋体"/>
          <w:color w:val="000000"/>
          <w:szCs w:val="32"/>
        </w:rPr>
      </w:pPr>
      <w:r>
        <w:rPr>
          <w:rFonts w:hint="eastAsia" w:ascii="宋体" w:hAnsi="宋体" w:eastAsia="宋体" w:cs="宋体"/>
          <w:sz w:val="28"/>
          <w:szCs w:val="28"/>
        </w:rPr>
        <w:t>------------------------以下无正文-----------------------</w:t>
      </w:r>
    </w:p>
    <w:p>
      <w:pPr>
        <w:pStyle w:val="3"/>
        <w:keepNext w:val="0"/>
        <w:keepLines w:val="0"/>
        <w:pageBreakBefore w:val="0"/>
        <w:kinsoku/>
        <w:wordWrap/>
        <w:overflowPunct/>
        <w:topLinePunct w:val="0"/>
        <w:bidi w:val="0"/>
        <w:spacing w:line="600" w:lineRule="exact"/>
        <w:ind w:firstLine="0" w:firstLineChars="0"/>
        <w:jc w:val="center"/>
        <w:rPr>
          <w:rFonts w:hint="eastAsia" w:ascii="宋体" w:hAnsi="宋体" w:eastAsia="宋体" w:cs="宋体"/>
          <w:color w:val="000000"/>
          <w:szCs w:val="32"/>
        </w:rPr>
      </w:pPr>
    </w:p>
    <w:p>
      <w:pPr>
        <w:pStyle w:val="3"/>
        <w:keepNext w:val="0"/>
        <w:keepLines w:val="0"/>
        <w:pageBreakBefore w:val="0"/>
        <w:kinsoku/>
        <w:wordWrap/>
        <w:overflowPunct/>
        <w:topLinePunct w:val="0"/>
        <w:bidi w:val="0"/>
        <w:spacing w:line="600" w:lineRule="exact"/>
        <w:ind w:firstLine="0" w:firstLineChars="0"/>
        <w:jc w:val="center"/>
        <w:rPr>
          <w:rFonts w:hint="eastAsia" w:ascii="宋体" w:hAnsi="宋体" w:eastAsia="宋体" w:cs="宋体"/>
          <w:color w:val="000000"/>
          <w:szCs w:val="32"/>
        </w:rPr>
      </w:pPr>
    </w:p>
    <w:p>
      <w:pPr>
        <w:pStyle w:val="3"/>
        <w:keepNext w:val="0"/>
        <w:keepLines w:val="0"/>
        <w:pageBreakBefore w:val="0"/>
        <w:kinsoku/>
        <w:wordWrap/>
        <w:overflowPunct/>
        <w:topLinePunct w:val="0"/>
        <w:bidi w:val="0"/>
        <w:spacing w:line="600" w:lineRule="exact"/>
        <w:ind w:firstLine="0" w:firstLineChars="0"/>
        <w:jc w:val="center"/>
        <w:rPr>
          <w:rFonts w:hint="eastAsia" w:ascii="宋体" w:hAnsi="宋体" w:eastAsia="宋体" w:cs="宋体"/>
          <w:color w:val="000000"/>
          <w:szCs w:val="32"/>
        </w:rPr>
      </w:pPr>
    </w:p>
    <w:p>
      <w:pPr>
        <w:pStyle w:val="3"/>
        <w:keepNext w:val="0"/>
        <w:keepLines w:val="0"/>
        <w:pageBreakBefore w:val="0"/>
        <w:kinsoku/>
        <w:wordWrap/>
        <w:overflowPunct/>
        <w:topLinePunct w:val="0"/>
        <w:bidi w:val="0"/>
        <w:spacing w:line="600" w:lineRule="exact"/>
        <w:ind w:firstLine="0" w:firstLineChars="0"/>
        <w:jc w:val="center"/>
        <w:rPr>
          <w:rFonts w:hint="eastAsia" w:ascii="宋体" w:hAnsi="宋体" w:eastAsia="宋体" w:cs="宋体"/>
          <w:color w:val="000000"/>
          <w:szCs w:val="32"/>
        </w:rPr>
      </w:pPr>
    </w:p>
    <w:p>
      <w:pPr>
        <w:pStyle w:val="3"/>
        <w:keepNext w:val="0"/>
        <w:keepLines w:val="0"/>
        <w:pageBreakBefore w:val="0"/>
        <w:kinsoku/>
        <w:wordWrap/>
        <w:overflowPunct/>
        <w:topLinePunct w:val="0"/>
        <w:bidi w:val="0"/>
        <w:spacing w:line="600" w:lineRule="exact"/>
        <w:ind w:firstLine="0" w:firstLineChars="0"/>
        <w:jc w:val="center"/>
        <w:rPr>
          <w:rFonts w:hint="eastAsia" w:ascii="宋体" w:hAnsi="宋体" w:eastAsia="宋体" w:cs="宋体"/>
          <w:color w:val="000000"/>
          <w:szCs w:val="32"/>
        </w:rPr>
      </w:pPr>
    </w:p>
    <w:p>
      <w:pPr>
        <w:pStyle w:val="3"/>
        <w:keepNext w:val="0"/>
        <w:keepLines w:val="0"/>
        <w:pageBreakBefore w:val="0"/>
        <w:kinsoku/>
        <w:wordWrap/>
        <w:overflowPunct/>
        <w:topLinePunct w:val="0"/>
        <w:bidi w:val="0"/>
        <w:spacing w:line="600" w:lineRule="exact"/>
        <w:ind w:firstLine="0" w:firstLineChars="0"/>
        <w:jc w:val="center"/>
        <w:rPr>
          <w:rFonts w:hint="eastAsia" w:ascii="宋体" w:hAnsi="宋体" w:eastAsia="宋体" w:cs="宋体"/>
          <w:color w:val="000000"/>
          <w:szCs w:val="32"/>
        </w:rPr>
      </w:pPr>
    </w:p>
    <w:p>
      <w:pPr>
        <w:pStyle w:val="3"/>
        <w:keepNext w:val="0"/>
        <w:keepLines w:val="0"/>
        <w:pageBreakBefore w:val="0"/>
        <w:kinsoku/>
        <w:wordWrap/>
        <w:overflowPunct/>
        <w:topLinePunct w:val="0"/>
        <w:bidi w:val="0"/>
        <w:spacing w:line="600" w:lineRule="exact"/>
        <w:ind w:firstLine="0" w:firstLineChars="0"/>
        <w:jc w:val="center"/>
        <w:rPr>
          <w:rFonts w:hint="eastAsia" w:ascii="宋体" w:hAnsi="宋体" w:eastAsia="宋体" w:cs="宋体"/>
          <w:color w:val="000000"/>
          <w:szCs w:val="32"/>
          <w:lang w:eastAsia="zh-CN"/>
        </w:rPr>
      </w:pPr>
      <w:r>
        <w:rPr>
          <w:rFonts w:hint="eastAsia" w:ascii="宋体" w:hAnsi="宋体" w:eastAsia="宋体" w:cs="宋体"/>
          <w:color w:val="000000"/>
          <w:szCs w:val="32"/>
          <w:lang w:eastAsia="zh-CN"/>
        </w:rPr>
        <w:t>（</w:t>
      </w:r>
      <w:r>
        <w:rPr>
          <w:rFonts w:hint="eastAsia" w:ascii="宋体" w:hAnsi="宋体" w:eastAsia="宋体" w:cs="宋体"/>
          <w:color w:val="000000"/>
          <w:szCs w:val="32"/>
          <w:lang w:val="en-US" w:eastAsia="zh-CN"/>
        </w:rPr>
        <w:t>本页为签章页</w:t>
      </w:r>
      <w:r>
        <w:rPr>
          <w:rFonts w:hint="eastAsia" w:ascii="宋体" w:hAnsi="宋体" w:eastAsia="宋体" w:cs="宋体"/>
          <w:color w:val="000000"/>
          <w:szCs w:val="32"/>
          <w:lang w:eastAsia="zh-CN"/>
        </w:rPr>
        <w:t>）</w:t>
      </w:r>
    </w:p>
    <w:tbl>
      <w:tblPr>
        <w:tblStyle w:val="9"/>
        <w:tblW w:w="8341" w:type="dxa"/>
        <w:jc w:val="center"/>
        <w:tblLayout w:type="fixed"/>
        <w:tblCellMar>
          <w:top w:w="0" w:type="dxa"/>
          <w:left w:w="108" w:type="dxa"/>
          <w:bottom w:w="0" w:type="dxa"/>
          <w:right w:w="108" w:type="dxa"/>
        </w:tblCellMar>
      </w:tblPr>
      <w:tblGrid>
        <w:gridCol w:w="4299"/>
        <w:gridCol w:w="4042"/>
      </w:tblGrid>
      <w:tr>
        <w:tblPrEx>
          <w:tblCellMar>
            <w:top w:w="0" w:type="dxa"/>
            <w:left w:w="108" w:type="dxa"/>
            <w:bottom w:w="0" w:type="dxa"/>
            <w:right w:w="108" w:type="dxa"/>
          </w:tblCellMar>
        </w:tblPrEx>
        <w:trPr>
          <w:trHeight w:val="1101" w:hRule="atLeast"/>
          <w:jc w:val="center"/>
        </w:trPr>
        <w:tc>
          <w:tcPr>
            <w:tcW w:w="4299"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委托人(盖章)：河池市城市投资建设发展有限公司</w:t>
            </w:r>
          </w:p>
        </w:tc>
        <w:tc>
          <w:tcPr>
            <w:tcW w:w="4042"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受托人(盖章)：</w:t>
            </w:r>
          </w:p>
        </w:tc>
      </w:tr>
      <w:tr>
        <w:tblPrEx>
          <w:tblCellMar>
            <w:top w:w="0" w:type="dxa"/>
            <w:left w:w="108" w:type="dxa"/>
            <w:bottom w:w="0" w:type="dxa"/>
            <w:right w:w="108" w:type="dxa"/>
          </w:tblCellMar>
        </w:tblPrEx>
        <w:trPr>
          <w:trHeight w:val="1147" w:hRule="atLeast"/>
          <w:jc w:val="center"/>
        </w:trPr>
        <w:tc>
          <w:tcPr>
            <w:tcW w:w="4299"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法定代表人或</w:t>
            </w:r>
          </w:p>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授权代理人(签字或盖章)：</w:t>
            </w:r>
          </w:p>
        </w:tc>
        <w:tc>
          <w:tcPr>
            <w:tcW w:w="4042"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法定代表人或</w:t>
            </w:r>
          </w:p>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授权代理人(签字或盖章)：</w:t>
            </w:r>
          </w:p>
        </w:tc>
      </w:tr>
      <w:tr>
        <w:tblPrEx>
          <w:tblCellMar>
            <w:top w:w="0" w:type="dxa"/>
            <w:left w:w="108" w:type="dxa"/>
            <w:bottom w:w="0" w:type="dxa"/>
            <w:right w:w="108" w:type="dxa"/>
          </w:tblCellMar>
        </w:tblPrEx>
        <w:trPr>
          <w:trHeight w:val="805" w:hRule="atLeast"/>
          <w:jc w:val="center"/>
        </w:trPr>
        <w:tc>
          <w:tcPr>
            <w:tcW w:w="4299"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经 办 人： </w:t>
            </w:r>
          </w:p>
        </w:tc>
        <w:tc>
          <w:tcPr>
            <w:tcW w:w="4042"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联 系 人：</w:t>
            </w:r>
          </w:p>
        </w:tc>
      </w:tr>
      <w:tr>
        <w:tblPrEx>
          <w:tblCellMar>
            <w:top w:w="0" w:type="dxa"/>
            <w:left w:w="108" w:type="dxa"/>
            <w:bottom w:w="0" w:type="dxa"/>
            <w:right w:w="108" w:type="dxa"/>
          </w:tblCellMar>
        </w:tblPrEx>
        <w:trPr>
          <w:trHeight w:val="518" w:hRule="atLeast"/>
          <w:jc w:val="center"/>
        </w:trPr>
        <w:tc>
          <w:tcPr>
            <w:tcW w:w="4299"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电  话：</w:t>
            </w:r>
          </w:p>
        </w:tc>
        <w:tc>
          <w:tcPr>
            <w:tcW w:w="4042"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电    话：</w:t>
            </w:r>
          </w:p>
        </w:tc>
      </w:tr>
      <w:tr>
        <w:tblPrEx>
          <w:tblCellMar>
            <w:top w:w="0" w:type="dxa"/>
            <w:left w:w="108" w:type="dxa"/>
            <w:bottom w:w="0" w:type="dxa"/>
            <w:right w:w="108" w:type="dxa"/>
          </w:tblCellMar>
        </w:tblPrEx>
        <w:trPr>
          <w:trHeight w:val="641" w:hRule="atLeast"/>
          <w:jc w:val="center"/>
        </w:trPr>
        <w:tc>
          <w:tcPr>
            <w:tcW w:w="4299"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地  址： 河池市金城江区金碧路25号    </w:t>
            </w:r>
          </w:p>
        </w:tc>
        <w:tc>
          <w:tcPr>
            <w:tcW w:w="4042"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地    址：</w:t>
            </w:r>
          </w:p>
        </w:tc>
      </w:tr>
      <w:tr>
        <w:tblPrEx>
          <w:tblCellMar>
            <w:top w:w="0" w:type="dxa"/>
            <w:left w:w="108" w:type="dxa"/>
            <w:bottom w:w="0" w:type="dxa"/>
            <w:right w:w="108" w:type="dxa"/>
          </w:tblCellMar>
        </w:tblPrEx>
        <w:trPr>
          <w:trHeight w:val="602" w:hRule="atLeast"/>
          <w:jc w:val="center"/>
        </w:trPr>
        <w:tc>
          <w:tcPr>
            <w:tcW w:w="4299"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电子邮箱： </w:t>
            </w:r>
          </w:p>
        </w:tc>
        <w:tc>
          <w:tcPr>
            <w:tcW w:w="4042"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电子邮箱：</w:t>
            </w:r>
          </w:p>
        </w:tc>
      </w:tr>
      <w:tr>
        <w:tblPrEx>
          <w:tblCellMar>
            <w:top w:w="0" w:type="dxa"/>
            <w:left w:w="108" w:type="dxa"/>
            <w:bottom w:w="0" w:type="dxa"/>
            <w:right w:w="108" w:type="dxa"/>
          </w:tblCellMar>
        </w:tblPrEx>
        <w:trPr>
          <w:trHeight w:val="927" w:hRule="atLeast"/>
          <w:jc w:val="center"/>
        </w:trPr>
        <w:tc>
          <w:tcPr>
            <w:tcW w:w="4299"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开户名称：河池市城市投资建设发展有限公司</w:t>
            </w:r>
          </w:p>
        </w:tc>
        <w:tc>
          <w:tcPr>
            <w:tcW w:w="4042"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开户名称： </w:t>
            </w:r>
          </w:p>
        </w:tc>
      </w:tr>
      <w:tr>
        <w:tblPrEx>
          <w:tblCellMar>
            <w:top w:w="0" w:type="dxa"/>
            <w:left w:w="108" w:type="dxa"/>
            <w:bottom w:w="0" w:type="dxa"/>
            <w:right w:w="108" w:type="dxa"/>
          </w:tblCellMar>
        </w:tblPrEx>
        <w:trPr>
          <w:trHeight w:val="543" w:hRule="atLeast"/>
          <w:jc w:val="center"/>
        </w:trPr>
        <w:tc>
          <w:tcPr>
            <w:tcW w:w="4299"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开户银行：中行河池分行营业部</w:t>
            </w:r>
          </w:p>
        </w:tc>
        <w:tc>
          <w:tcPr>
            <w:tcW w:w="4042"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开户银行：</w:t>
            </w:r>
          </w:p>
        </w:tc>
      </w:tr>
      <w:tr>
        <w:tblPrEx>
          <w:tblCellMar>
            <w:top w:w="0" w:type="dxa"/>
            <w:left w:w="108" w:type="dxa"/>
            <w:bottom w:w="0" w:type="dxa"/>
            <w:right w:w="108" w:type="dxa"/>
          </w:tblCellMar>
        </w:tblPrEx>
        <w:trPr>
          <w:trHeight w:val="606" w:hRule="atLeast"/>
          <w:jc w:val="center"/>
        </w:trPr>
        <w:tc>
          <w:tcPr>
            <w:tcW w:w="4299"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帐    号：623657495140</w:t>
            </w:r>
          </w:p>
        </w:tc>
        <w:tc>
          <w:tcPr>
            <w:tcW w:w="4042"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帐    号：</w:t>
            </w:r>
          </w:p>
        </w:tc>
      </w:tr>
      <w:tr>
        <w:tblPrEx>
          <w:tblCellMar>
            <w:top w:w="0" w:type="dxa"/>
            <w:left w:w="108" w:type="dxa"/>
            <w:bottom w:w="0" w:type="dxa"/>
            <w:right w:w="108" w:type="dxa"/>
          </w:tblCellMar>
        </w:tblPrEx>
        <w:trPr>
          <w:trHeight w:val="709" w:hRule="atLeast"/>
          <w:jc w:val="center"/>
        </w:trPr>
        <w:tc>
          <w:tcPr>
            <w:tcW w:w="4299"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社会信用代码：91451200775987453K</w:t>
            </w:r>
          </w:p>
        </w:tc>
        <w:tc>
          <w:tcPr>
            <w:tcW w:w="4042" w:type="dxa"/>
            <w:vAlign w:val="center"/>
          </w:tcPr>
          <w:p>
            <w:pPr>
              <w:pStyle w:val="3"/>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社会信用代码：</w:t>
            </w:r>
          </w:p>
        </w:tc>
      </w:tr>
      <w:tr>
        <w:tblPrEx>
          <w:tblCellMar>
            <w:top w:w="0" w:type="dxa"/>
            <w:left w:w="108" w:type="dxa"/>
            <w:bottom w:w="0" w:type="dxa"/>
            <w:right w:w="108" w:type="dxa"/>
          </w:tblCellMar>
        </w:tblPrEx>
        <w:trPr>
          <w:trHeight w:val="409" w:hRule="atLeast"/>
          <w:jc w:val="center"/>
        </w:trPr>
        <w:tc>
          <w:tcPr>
            <w:tcW w:w="8341" w:type="dxa"/>
            <w:gridSpan w:val="2"/>
            <w:vAlign w:val="center"/>
          </w:tcPr>
          <w:p>
            <w:pPr>
              <w:pStyle w:val="3"/>
              <w:keepNext w:val="0"/>
              <w:keepLines w:val="0"/>
              <w:pageBreakBefore w:val="0"/>
              <w:kinsoku/>
              <w:wordWrap/>
              <w:overflowPunct/>
              <w:topLinePunct w:val="0"/>
              <w:bidi w:val="0"/>
              <w:spacing w:line="600" w:lineRule="exact"/>
              <w:ind w:left="0" w:leftChars="0" w:firstLine="0" w:firstLineChars="0"/>
              <w:jc w:val="center"/>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日期： 2022 年   月   日</w:t>
            </w:r>
          </w:p>
        </w:tc>
      </w:tr>
    </w:tbl>
    <w:p>
      <w:pPr>
        <w:pStyle w:val="2"/>
        <w:keepNext w:val="0"/>
        <w:keepLines w:val="0"/>
        <w:pageBreakBefore w:val="0"/>
        <w:kinsoku/>
        <w:wordWrap/>
        <w:overflowPunct/>
        <w:topLinePunct w:val="0"/>
        <w:bidi w:val="0"/>
        <w:spacing w:line="600" w:lineRule="exact"/>
        <w:jc w:val="both"/>
      </w:pPr>
    </w:p>
    <w:sectPr>
      <w:headerReference r:id="rId5" w:type="default"/>
      <w:footerReference r:id="rId6" w:type="default"/>
      <w:pgSz w:w="11906" w:h="16838"/>
      <w:pgMar w:top="2098" w:right="1474" w:bottom="1276"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DF7A4F"/>
    <w:multiLevelType w:val="singleLevel"/>
    <w:tmpl w:val="9CDF7A4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24F05AC0"/>
    <w:rsid w:val="00BA00D7"/>
    <w:rsid w:val="00EC674D"/>
    <w:rsid w:val="02BE582C"/>
    <w:rsid w:val="034D6D76"/>
    <w:rsid w:val="04655AAA"/>
    <w:rsid w:val="04890AD8"/>
    <w:rsid w:val="0529626B"/>
    <w:rsid w:val="06346D69"/>
    <w:rsid w:val="071741D7"/>
    <w:rsid w:val="074A10E3"/>
    <w:rsid w:val="0A123FDA"/>
    <w:rsid w:val="0A5C3D51"/>
    <w:rsid w:val="0B0A6AEB"/>
    <w:rsid w:val="0B6D664C"/>
    <w:rsid w:val="0DE76397"/>
    <w:rsid w:val="0E2D5C24"/>
    <w:rsid w:val="120365A6"/>
    <w:rsid w:val="127C1DA7"/>
    <w:rsid w:val="134A3779"/>
    <w:rsid w:val="14CB5B87"/>
    <w:rsid w:val="14FE2593"/>
    <w:rsid w:val="165C595E"/>
    <w:rsid w:val="16B920AD"/>
    <w:rsid w:val="16CD4B69"/>
    <w:rsid w:val="17AA4179"/>
    <w:rsid w:val="199944A6"/>
    <w:rsid w:val="1A4B7622"/>
    <w:rsid w:val="1C310EAC"/>
    <w:rsid w:val="1C7D1E5D"/>
    <w:rsid w:val="1F33044B"/>
    <w:rsid w:val="2313245B"/>
    <w:rsid w:val="24C85B57"/>
    <w:rsid w:val="24D70497"/>
    <w:rsid w:val="24F05AC0"/>
    <w:rsid w:val="25D725DE"/>
    <w:rsid w:val="25E17DC2"/>
    <w:rsid w:val="26F947D6"/>
    <w:rsid w:val="28664E5E"/>
    <w:rsid w:val="28FE5771"/>
    <w:rsid w:val="29AA0996"/>
    <w:rsid w:val="2A6F54DA"/>
    <w:rsid w:val="2B2F0885"/>
    <w:rsid w:val="2B3D1258"/>
    <w:rsid w:val="2BC269B8"/>
    <w:rsid w:val="2BDB15F2"/>
    <w:rsid w:val="2C744371"/>
    <w:rsid w:val="2D972C79"/>
    <w:rsid w:val="2EE6620E"/>
    <w:rsid w:val="2F94071B"/>
    <w:rsid w:val="2FBE40CC"/>
    <w:rsid w:val="31D56AD4"/>
    <w:rsid w:val="336F4828"/>
    <w:rsid w:val="33AA56CF"/>
    <w:rsid w:val="33DA615A"/>
    <w:rsid w:val="34C00EA2"/>
    <w:rsid w:val="35452F83"/>
    <w:rsid w:val="35C85ACE"/>
    <w:rsid w:val="37F4536C"/>
    <w:rsid w:val="3AFD0FCA"/>
    <w:rsid w:val="3B7D2538"/>
    <w:rsid w:val="3B81185E"/>
    <w:rsid w:val="3BC304DD"/>
    <w:rsid w:val="3BCF2928"/>
    <w:rsid w:val="3BD441A5"/>
    <w:rsid w:val="3C8F7468"/>
    <w:rsid w:val="3E5A489C"/>
    <w:rsid w:val="3E880D1D"/>
    <w:rsid w:val="3EAC5299"/>
    <w:rsid w:val="3FE26CDB"/>
    <w:rsid w:val="413C792B"/>
    <w:rsid w:val="4157061F"/>
    <w:rsid w:val="42016373"/>
    <w:rsid w:val="423B42B2"/>
    <w:rsid w:val="429E2209"/>
    <w:rsid w:val="43D94116"/>
    <w:rsid w:val="443C0F93"/>
    <w:rsid w:val="460531EC"/>
    <w:rsid w:val="474B7C1C"/>
    <w:rsid w:val="4A727067"/>
    <w:rsid w:val="4B215410"/>
    <w:rsid w:val="4BCE772F"/>
    <w:rsid w:val="4D695962"/>
    <w:rsid w:val="4FDE20F2"/>
    <w:rsid w:val="50416792"/>
    <w:rsid w:val="52E47BE4"/>
    <w:rsid w:val="53524826"/>
    <w:rsid w:val="54175B15"/>
    <w:rsid w:val="55456CB4"/>
    <w:rsid w:val="56F02C50"/>
    <w:rsid w:val="57B349A3"/>
    <w:rsid w:val="58721CF1"/>
    <w:rsid w:val="58BF6A69"/>
    <w:rsid w:val="59033B64"/>
    <w:rsid w:val="59426073"/>
    <w:rsid w:val="5A0117D8"/>
    <w:rsid w:val="5AC630CB"/>
    <w:rsid w:val="5B0D49A5"/>
    <w:rsid w:val="5D8D2FA6"/>
    <w:rsid w:val="5F245B8C"/>
    <w:rsid w:val="60A71CFF"/>
    <w:rsid w:val="6155198F"/>
    <w:rsid w:val="62D93996"/>
    <w:rsid w:val="63F27399"/>
    <w:rsid w:val="668273CA"/>
    <w:rsid w:val="66DD0699"/>
    <w:rsid w:val="677E1F8A"/>
    <w:rsid w:val="69406F9B"/>
    <w:rsid w:val="6C0B435C"/>
    <w:rsid w:val="6CC907AF"/>
    <w:rsid w:val="6F1352D6"/>
    <w:rsid w:val="70457711"/>
    <w:rsid w:val="70C83C00"/>
    <w:rsid w:val="723C775D"/>
    <w:rsid w:val="726476DE"/>
    <w:rsid w:val="72883736"/>
    <w:rsid w:val="742835D1"/>
    <w:rsid w:val="74FD2CD6"/>
    <w:rsid w:val="75B1627E"/>
    <w:rsid w:val="78DF1978"/>
    <w:rsid w:val="7A980945"/>
    <w:rsid w:val="7BF4781F"/>
    <w:rsid w:val="7C0F0D22"/>
    <w:rsid w:val="7DF823D6"/>
    <w:rsid w:val="7ED83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jc w:val="center"/>
    </w:pPr>
    <w:rPr>
      <w:sz w:val="52"/>
    </w:rPr>
  </w:style>
  <w:style w:type="paragraph" w:styleId="3">
    <w:name w:val="Body Text Indent"/>
    <w:basedOn w:val="1"/>
    <w:unhideWhenUsed/>
    <w:qFormat/>
    <w:uiPriority w:val="0"/>
    <w:pPr>
      <w:ind w:firstLine="640" w:firstLineChars="200"/>
    </w:pPr>
    <w:rPr>
      <w:kern w:val="0"/>
      <w:sz w:val="32"/>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toc 2"/>
    <w:basedOn w:val="1"/>
    <w:next w:val="1"/>
    <w:semiHidden/>
    <w:qFormat/>
    <w:uiPriority w:val="0"/>
    <w:pPr>
      <w:ind w:left="210"/>
      <w:jc w:val="left"/>
    </w:pPr>
    <w:rPr>
      <w:rFonts w:ascii="Times New Roman" w:hAnsi="Times New Roman"/>
      <w:smallCaps/>
      <w:sz w:val="20"/>
    </w:rPr>
  </w:style>
  <w:style w:type="paragraph" w:styleId="8">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1">
    <w:name w:val="表格文字"/>
    <w:basedOn w:val="1"/>
    <w:qFormat/>
    <w:uiPriority w:val="0"/>
    <w:pPr>
      <w:spacing w:before="25" w:after="25"/>
      <w:jc w:val="left"/>
    </w:pPr>
    <w:rPr>
      <w:bCs/>
      <w:spacing w:val="10"/>
      <w:kern w:val="0"/>
      <w:sz w:val="24"/>
      <w:szCs w:val="20"/>
    </w:rPr>
  </w:style>
  <w:style w:type="paragraph" w:customStyle="1" w:styleId="12">
    <w:name w:val="Fließtext"/>
    <w:basedOn w:val="1"/>
    <w:qFormat/>
    <w:uiPriority w:val="99"/>
    <w:pPr>
      <w:overflowPunct w:val="0"/>
      <w:autoSpaceDE w:val="0"/>
      <w:autoSpaceDN w:val="0"/>
      <w:adjustRightInd w:val="0"/>
      <w:textAlignment w:val="baseline"/>
    </w:pPr>
    <w:rPr>
      <w:kern w:val="28"/>
      <w:szCs w:val="20"/>
    </w:rPr>
  </w:style>
  <w:style w:type="paragraph" w:customStyle="1" w:styleId="13">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paragraph" w:customStyle="1" w:styleId="14">
    <w:name w:val="引言二级条标题"/>
    <w:basedOn w:val="15"/>
    <w:next w:val="16"/>
    <w:qFormat/>
    <w:uiPriority w:val="0"/>
    <w:pPr>
      <w:ind w:left="0" w:firstLine="0"/>
    </w:pPr>
    <w:rPr>
      <w:rFonts w:eastAsia="宋体"/>
    </w:rPr>
  </w:style>
  <w:style w:type="paragraph" w:customStyle="1" w:styleId="15">
    <w:name w:val="引言一级条标题"/>
    <w:basedOn w:val="1"/>
    <w:next w:val="16"/>
    <w:qFormat/>
    <w:uiPriority w:val="0"/>
    <w:pPr>
      <w:widowControl/>
      <w:spacing w:beforeAutospacing="1" w:afterAutospacing="1"/>
      <w:ind w:left="900" w:hanging="900"/>
    </w:pPr>
    <w:rPr>
      <w:rFonts w:eastAsia="黑体"/>
      <w:b/>
      <w:bCs/>
    </w:rPr>
  </w:style>
  <w:style w:type="paragraph" w:customStyle="1" w:styleId="1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4208</Words>
  <Characters>4417</Characters>
  <Lines>0</Lines>
  <Paragraphs>0</Paragraphs>
  <TotalTime>11</TotalTime>
  <ScaleCrop>false</ScaleCrop>
  <LinksUpToDate>false</LinksUpToDate>
  <CharactersWithSpaces>4830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2021-08-03T09:10:00Z</dcterms:created>
  <dc:creator>川爺</dc:creator>
  <cp:lastModifiedBy>河池市城投公司</cp:lastModifiedBy>
  <cp:lastPrinted>2022-07-20T03:39:00Z</cp:lastPrinted>
  <dcterms:modified xsi:type="dcterms:W3CDTF">2022-07-26T07:26:08Z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E028C0619FE64E9BB423FC0B851E3FDE</vt:lpwstr>
  </property>
  <property fmtid="{D5CDD505-2E9C-101B-9397-08002B2CF9AE}" pid="4" name="commondata">
    <vt:lpwstr>eyJoZGlkIjoiMWQ4MjFiOTE4ODE3NzkwYzI2N2I4MjBiMWUzOTkxMmIifQ==</vt:lpwstr>
  </property>
</Properties>
</file>