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lang w:val="en-US" w:eastAsia="zh-CN"/>
        </w:rPr>
      </w:pPr>
      <w:bookmarkStart w:id="1" w:name="_GoBack"/>
      <w:bookmarkEnd w:id="1"/>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spacing w:line="56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报价表</w:t>
      </w:r>
    </w:p>
    <w:p>
      <w:pPr>
        <w:spacing w:line="560" w:lineRule="exact"/>
        <w:jc w:val="left"/>
        <w:rPr>
          <w:rFonts w:ascii="宋体" w:hAnsi="宋体"/>
          <w:color w:val="auto"/>
          <w:sz w:val="44"/>
          <w:szCs w:val="44"/>
        </w:rPr>
      </w:pPr>
    </w:p>
    <w:p>
      <w:pPr>
        <w:pStyle w:val="5"/>
        <w:rPr>
          <w:rFonts w:ascii="宋体" w:hAnsi="宋体"/>
          <w:color w:val="auto"/>
          <w:sz w:val="44"/>
          <w:szCs w:val="44"/>
        </w:rPr>
      </w:pPr>
    </w:p>
    <w:p>
      <w:pPr>
        <w:pStyle w:val="5"/>
        <w:rPr>
          <w:rFonts w:ascii="宋体" w:hAnsi="宋体"/>
          <w:color w:val="auto"/>
          <w:sz w:val="44"/>
          <w:szCs w:val="44"/>
        </w:rPr>
      </w:pPr>
    </w:p>
    <w:p>
      <w:pPr>
        <w:spacing w:line="560" w:lineRule="exact"/>
        <w:jc w:val="left"/>
        <w:rPr>
          <w:rFonts w:ascii="仿宋_GB2312" w:hAnsi="仿宋" w:eastAsia="仿宋_GB2312"/>
          <w:color w:val="auto"/>
          <w:sz w:val="32"/>
          <w:szCs w:val="32"/>
          <w:u w:val="single"/>
        </w:rPr>
      </w:pPr>
      <w:r>
        <w:rPr>
          <w:rFonts w:hint="eastAsia" w:ascii="仿宋_GB2312" w:hAnsi="仿宋" w:eastAsia="仿宋_GB2312"/>
          <w:color w:val="auto"/>
          <w:sz w:val="32"/>
          <w:szCs w:val="32"/>
          <w:lang w:val="en-US" w:eastAsia="zh-CN"/>
        </w:rPr>
        <w:t>投标</w:t>
      </w:r>
      <w:r>
        <w:rPr>
          <w:rFonts w:hint="eastAsia" w:ascii="仿宋_GB2312" w:hAnsi="仿宋" w:eastAsia="仿宋_GB2312"/>
          <w:color w:val="auto"/>
          <w:sz w:val="32"/>
          <w:szCs w:val="32"/>
        </w:rPr>
        <w:t>单位</w:t>
      </w:r>
      <w:r>
        <w:rPr>
          <w:rFonts w:hint="eastAsia" w:ascii="仿宋_GB2312" w:hAnsi="仿宋" w:eastAsia="仿宋_GB2312"/>
          <w:color w:val="auto"/>
          <w:sz w:val="32"/>
          <w:szCs w:val="32"/>
          <w:lang w:val="en-US" w:eastAsia="zh-CN"/>
        </w:rPr>
        <w:t>名称</w:t>
      </w:r>
      <w:r>
        <w:rPr>
          <w:rFonts w:hint="eastAsia" w:ascii="仿宋_GB2312" w:hAnsi="仿宋" w:eastAsia="仿宋_GB2312"/>
          <w:color w:val="auto"/>
          <w:sz w:val="32"/>
          <w:szCs w:val="32"/>
        </w:rPr>
        <w:t>（公章）：</w:t>
      </w:r>
      <w:r>
        <w:rPr>
          <w:rFonts w:hint="eastAsia" w:ascii="仿宋_GB2312" w:hAnsi="仿宋" w:eastAsia="仿宋_GB2312"/>
          <w:color w:val="auto"/>
          <w:sz w:val="32"/>
          <w:szCs w:val="32"/>
          <w:u w:val="single"/>
        </w:rPr>
        <w:t xml:space="preserve">                                </w:t>
      </w:r>
    </w:p>
    <w:p>
      <w:pPr>
        <w:spacing w:line="560" w:lineRule="exact"/>
        <w:jc w:val="left"/>
        <w:rPr>
          <w:rFonts w:ascii="仿宋_GB2312" w:hAnsi="仿宋" w:eastAsia="仿宋_GB2312"/>
          <w:color w:val="auto"/>
          <w:sz w:val="32"/>
          <w:szCs w:val="32"/>
        </w:rPr>
      </w:pPr>
    </w:p>
    <w:p>
      <w:pPr>
        <w:spacing w:line="600" w:lineRule="exact"/>
        <w:ind w:left="1600" w:hanging="1600" w:hangingChars="500"/>
        <w:jc w:val="left"/>
        <w:rPr>
          <w:rFonts w:hint="eastAsia" w:ascii="仿宋_GB2312" w:hAnsi="仿宋" w:eastAsia="仿宋_GB2312"/>
          <w:color w:val="auto"/>
          <w:sz w:val="32"/>
          <w:szCs w:val="32"/>
          <w:u w:val="single"/>
          <w:lang w:val="en-US" w:eastAsia="zh-CN"/>
        </w:rPr>
      </w:pPr>
      <w:r>
        <w:rPr>
          <w:rFonts w:hint="eastAsia" w:ascii="仿宋_GB2312" w:hAnsi="仿宋" w:eastAsia="仿宋_GB2312"/>
          <w:color w:val="auto"/>
          <w:sz w:val="32"/>
          <w:szCs w:val="32"/>
        </w:rPr>
        <w:t>项目名称：</w:t>
      </w:r>
      <w:r>
        <w:rPr>
          <w:rFonts w:hint="eastAsia" w:ascii="仿宋_GB2312" w:hAnsi="仿宋_GB2312" w:eastAsia="仿宋_GB2312" w:cs="仿宋_GB2312"/>
          <w:color w:val="auto"/>
          <w:sz w:val="32"/>
          <w:szCs w:val="32"/>
          <w:u w:val="single"/>
          <w:lang w:eastAsia="zh-CN"/>
        </w:rPr>
        <w:t>河池市宜州区燕山片区新型城镇化项目城区基础设施道路工程</w:t>
      </w:r>
      <w:r>
        <w:rPr>
          <w:rFonts w:hint="eastAsia" w:ascii="仿宋_GB2312" w:hAnsi="仿宋_GB2312" w:eastAsia="仿宋_GB2312" w:cs="仿宋_GB2312"/>
          <w:color w:val="auto"/>
          <w:sz w:val="32"/>
          <w:szCs w:val="32"/>
          <w:u w:val="single"/>
          <w:lang w:val="en-US" w:eastAsia="zh-CN"/>
        </w:rPr>
        <w:t>招标控制价编制</w:t>
      </w:r>
    </w:p>
    <w:p>
      <w:pPr>
        <w:spacing w:line="600" w:lineRule="exact"/>
        <w:ind w:left="1280" w:hanging="1280" w:hangingChars="400"/>
        <w:jc w:val="left"/>
        <w:rPr>
          <w:rFonts w:hint="eastAsia" w:ascii="仿宋_GB2312" w:hAnsi="仿宋_GB2312" w:eastAsia="仿宋_GB2312" w:cs="仿宋_GB2312"/>
          <w:color w:val="auto"/>
          <w:sz w:val="32"/>
          <w:szCs w:val="32"/>
          <w:lang w:val="en-US" w:eastAsia="zh-CN"/>
        </w:rPr>
      </w:pPr>
    </w:p>
    <w:p>
      <w:pPr>
        <w:spacing w:line="560" w:lineRule="exact"/>
        <w:jc w:val="left"/>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项目编号：</w:t>
      </w:r>
      <w:r>
        <w:rPr>
          <w:rFonts w:hint="eastAsia" w:ascii="仿宋_GB2312" w:hAnsi="仿宋_GB2312" w:eastAsia="仿宋_GB2312" w:cs="仿宋_GB2312"/>
          <w:color w:val="auto"/>
          <w:kern w:val="2"/>
          <w:sz w:val="32"/>
          <w:szCs w:val="32"/>
          <w:u w:val="single"/>
          <w:lang w:val="en-US" w:eastAsia="zh-CN" w:bidi="ar-SA"/>
        </w:rPr>
        <w:t>HCCT20220239号</w:t>
      </w:r>
      <w:r>
        <w:rPr>
          <w:rFonts w:hint="eastAsia" w:ascii="仿宋_GB2312" w:hAnsi="仿宋" w:eastAsia="仿宋_GB2312"/>
          <w:color w:val="auto"/>
          <w:sz w:val="32"/>
          <w:szCs w:val="32"/>
          <w:u w:val="single"/>
          <w:lang w:val="en-US" w:eastAsia="zh-CN"/>
        </w:rPr>
        <w:t xml:space="preserve"> </w:t>
      </w:r>
    </w:p>
    <w:p>
      <w:pPr>
        <w:spacing w:line="560" w:lineRule="exact"/>
        <w:jc w:val="left"/>
        <w:rPr>
          <w:rFonts w:ascii="仿宋_GB2312" w:hAnsi="仿宋" w:eastAsia="仿宋_GB2312"/>
          <w:color w:val="auto"/>
          <w:sz w:val="32"/>
          <w:szCs w:val="32"/>
          <w:highlight w:val="cyan"/>
        </w:rPr>
      </w:pP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下浮系数</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p>
    <w:p>
      <w:pPr>
        <w:jc w:val="left"/>
        <w:rPr>
          <w:rFonts w:hint="eastAsia" w:ascii="仿宋_GB2312" w:hAnsi="仿宋" w:eastAsia="仿宋_GB2312"/>
          <w:color w:val="auto"/>
          <w:sz w:val="32"/>
          <w:szCs w:val="32"/>
          <w:highlight w:val="cyan"/>
          <w:u w:val="single"/>
        </w:rPr>
      </w:pPr>
    </w:p>
    <w:p>
      <w:pPr>
        <w:spacing w:line="560" w:lineRule="exact"/>
        <w:jc w:val="left"/>
        <w:rPr>
          <w:rFonts w:eastAsia="仿宋_GB2312" w:cs="Calibri"/>
          <w:color w:val="auto"/>
          <w:sz w:val="32"/>
          <w:szCs w:val="32"/>
        </w:rPr>
      </w:pPr>
    </w:p>
    <w:p>
      <w:pPr>
        <w:spacing w:line="560" w:lineRule="exact"/>
        <w:ind w:firstLine="4320" w:firstLineChars="1350"/>
        <w:jc w:val="left"/>
        <w:rPr>
          <w:rFonts w:ascii="仿宋_GB2312" w:hAnsi="仿宋" w:eastAsia="仿宋_GB2312"/>
          <w:color w:val="auto"/>
          <w:sz w:val="32"/>
          <w:szCs w:val="32"/>
          <w:u w:val="single"/>
        </w:rPr>
      </w:pPr>
      <w:r>
        <w:rPr>
          <w:rFonts w:hint="eastAsia" w:ascii="仿宋_GB2312" w:hAnsi="仿宋" w:eastAsia="仿宋_GB2312"/>
          <w:color w:val="auto"/>
          <w:sz w:val="32"/>
          <w:szCs w:val="32"/>
        </w:rPr>
        <w:t>日期：</w:t>
      </w:r>
      <w:r>
        <w:rPr>
          <w:rFonts w:hint="eastAsia" w:ascii="仿宋_GB2312" w:hAnsi="仿宋" w:eastAsia="仿宋_GB2312"/>
          <w:color w:val="auto"/>
          <w:sz w:val="32"/>
          <w:szCs w:val="32"/>
          <w:u w:val="single"/>
        </w:rPr>
        <w:t xml:space="preserve">                  </w:t>
      </w:r>
    </w:p>
    <w:p>
      <w:pPr>
        <w:spacing w:line="560" w:lineRule="exact"/>
        <w:rPr>
          <w:rFonts w:ascii="仿宋_GB2312" w:eastAsia="仿宋_GB2312"/>
          <w:color w:val="auto"/>
        </w:rPr>
      </w:pPr>
    </w:p>
    <w:p>
      <w:pPr>
        <w:pStyle w:val="5"/>
        <w:rPr>
          <w:rFonts w:hint="eastAsia" w:ascii="仿宋_GB2312" w:eastAsia="仿宋_GB2312"/>
          <w:color w:val="auto"/>
        </w:rPr>
      </w:pPr>
    </w:p>
    <w:p>
      <w:pPr>
        <w:pStyle w:val="5"/>
        <w:rPr>
          <w:rFonts w:hint="eastAsia" w:ascii="仿宋_GB2312" w:eastAsia="仿宋_GB2312"/>
          <w:color w:val="auto"/>
        </w:rPr>
      </w:pPr>
    </w:p>
    <w:p>
      <w:pPr>
        <w:pStyle w:val="5"/>
        <w:rPr>
          <w:rFonts w:hint="eastAsia" w:ascii="仿宋_GB2312" w:eastAsia="仿宋_GB2312"/>
          <w:color w:val="auto"/>
        </w:rPr>
      </w:pPr>
    </w:p>
    <w:p>
      <w:pPr>
        <w:rPr>
          <w:rFonts w:hint="eastAsia" w:ascii="仿宋_GB2312" w:eastAsia="仿宋_GB2312"/>
          <w:color w:val="auto"/>
        </w:rPr>
      </w:pPr>
    </w:p>
    <w:p>
      <w:pPr>
        <w:rPr>
          <w:rFonts w:hint="eastAsia" w:ascii="仿宋_GB2312" w:eastAsia="仿宋_GB2312"/>
          <w:color w:val="auto"/>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color w:val="auto"/>
          <w:sz w:val="28"/>
          <w:szCs w:val="28"/>
          <w:lang w:val="en-US" w:eastAsia="zh-CN"/>
        </w:rPr>
      </w:pPr>
      <w:r>
        <w:rPr>
          <w:rFonts w:hint="eastAsia" w:ascii="仿宋_GB2312" w:hAnsi="仿宋_GB2312" w:eastAsia="仿宋_GB2312" w:cs="仿宋_GB2312"/>
          <w:color w:val="auto"/>
          <w:sz w:val="28"/>
          <w:szCs w:val="28"/>
          <w:highlight w:val="none"/>
          <w:lang w:val="en-US" w:eastAsia="zh-CN"/>
        </w:rPr>
        <w:t>注：有效报价：0&lt;下浮系数≤1为有效报价</w:t>
      </w:r>
    </w:p>
    <w:p>
      <w:pPr>
        <w:rPr>
          <w:rFonts w:hint="eastAsia" w:ascii="仿宋_GB2312" w:hAnsi="仿宋_GB2312" w:eastAsia="仿宋_GB2312" w:cs="仿宋_GB2312"/>
          <w:color w:val="auto"/>
          <w:sz w:val="32"/>
          <w:szCs w:val="32"/>
          <w:highlight w:val="none"/>
          <w:lang w:val="en-US" w:eastAsia="zh-CN"/>
        </w:rPr>
      </w:pPr>
    </w:p>
    <w:p>
      <w:pPr>
        <w:pStyle w:val="4"/>
        <w:numPr>
          <w:ilvl w:val="0"/>
          <w:numId w:val="0"/>
        </w:numPr>
        <w:ind w:leftChars="0"/>
        <w:rPr>
          <w:rFonts w:hint="eastAsia"/>
          <w:color w:val="auto"/>
          <w:lang w:val="en-US" w:eastAsia="zh-CN"/>
        </w:rPr>
      </w:pPr>
    </w:p>
    <w:p>
      <w:pPr>
        <w:rPr>
          <w:rFonts w:hint="eastAsia"/>
          <w:color w:val="auto"/>
          <w:lang w:val="en-US" w:eastAsia="zh-CN"/>
        </w:rPr>
      </w:pPr>
    </w:p>
    <w:p>
      <w:pPr>
        <w:pStyle w:val="5"/>
        <w:rPr>
          <w:rFonts w:hint="eastAsia"/>
          <w:color w:val="auto"/>
          <w:lang w:val="en-US" w:eastAsia="zh-CN"/>
        </w:rPr>
        <w:sectPr>
          <w:footerReference r:id="rId3" w:type="default"/>
          <w:pgSz w:w="11906" w:h="16840"/>
          <w:pgMar w:top="1460" w:right="1440" w:bottom="280" w:left="1420" w:header="720" w:footer="720" w:gutter="0"/>
          <w:pgNumType w:fmt="decimal" w:start="1"/>
          <w:cols w:space="720" w:num="1"/>
        </w:sectPr>
      </w:pPr>
    </w:p>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  合同条款及格式</w:t>
      </w:r>
    </w:p>
    <w:p>
      <w:pPr>
        <w:pStyle w:val="5"/>
        <w:rPr>
          <w:rFonts w:hint="eastAsia" w:ascii="黑体" w:hAnsi="黑体" w:eastAsia="黑体" w:cs="黑体"/>
          <w:color w:val="auto"/>
          <w:sz w:val="32"/>
          <w:szCs w:val="32"/>
          <w:lang w:val="en-US" w:eastAsia="zh-CN"/>
        </w:rPr>
      </w:pPr>
    </w:p>
    <w:p>
      <w:pPr>
        <w:jc w:val="center"/>
        <w:rPr>
          <w:rFonts w:ascii="Times New Roman" w:hAnsi="Times New Roman" w:eastAsia="华文中宋"/>
          <w:b/>
          <w:color w:val="auto"/>
          <w:sz w:val="52"/>
          <w:szCs w:val="52"/>
        </w:rPr>
      </w:pPr>
    </w:p>
    <w:p>
      <w:pPr>
        <w:jc w:val="center"/>
        <w:rPr>
          <w:rFonts w:ascii="Times New Roman" w:hAnsi="Times New Roman" w:eastAsia="华文中宋"/>
          <w:b/>
          <w:color w:val="auto"/>
          <w:sz w:val="52"/>
          <w:szCs w:val="52"/>
        </w:rPr>
      </w:pPr>
    </w:p>
    <w:p>
      <w:pPr>
        <w:jc w:val="center"/>
        <w:rPr>
          <w:rFonts w:ascii="Times New Roman" w:hAnsi="Times New Roman" w:eastAsia="华文中宋"/>
          <w:b/>
          <w:color w:val="auto"/>
          <w:sz w:val="52"/>
          <w:szCs w:val="52"/>
        </w:rPr>
      </w:pPr>
      <w:r>
        <w:rPr>
          <w:rFonts w:hint="eastAsia" w:ascii="Times New Roman" w:hAnsi="Times New Roman" w:eastAsia="华文中宋"/>
          <w:b/>
          <w:color w:val="auto"/>
          <w:sz w:val="52"/>
          <w:szCs w:val="52"/>
          <w:lang w:eastAsia="zh-CN"/>
        </w:rPr>
        <w:t>河池市宜州区燕山片区新型城镇化项目城区基础设施道路工程</w:t>
      </w:r>
      <w:r>
        <w:rPr>
          <w:rFonts w:hint="eastAsia" w:ascii="Times New Roman" w:hAnsi="Times New Roman" w:eastAsia="华文中宋"/>
          <w:b/>
          <w:color w:val="auto"/>
          <w:sz w:val="52"/>
          <w:szCs w:val="52"/>
        </w:rPr>
        <w:t>造价咨询合同</w:t>
      </w:r>
    </w:p>
    <w:p>
      <w:pPr>
        <w:tabs>
          <w:tab w:val="left" w:pos="2220"/>
          <w:tab w:val="center" w:pos="4462"/>
        </w:tabs>
        <w:ind w:firstLine="525"/>
        <w:jc w:val="center"/>
        <w:rPr>
          <w:rFonts w:hint="eastAsia" w:ascii="华文中宋" w:hAnsi="华文中宋" w:eastAsia="华文中宋" w:cs="华文中宋"/>
          <w:b/>
          <w:bCs/>
          <w:color w:val="auto"/>
          <w:sz w:val="52"/>
          <w:szCs w:val="52"/>
          <w:lang w:eastAsia="zh-CN"/>
        </w:rPr>
      </w:pPr>
      <w:r>
        <w:rPr>
          <w:rFonts w:hint="eastAsia" w:ascii="华文中宋" w:hAnsi="华文中宋" w:eastAsia="华文中宋" w:cs="华文中宋"/>
          <w:b/>
          <w:bCs/>
          <w:color w:val="auto"/>
          <w:sz w:val="52"/>
          <w:szCs w:val="52"/>
          <w:lang w:eastAsia="zh-CN"/>
        </w:rPr>
        <w:t>（招标控制价编制）</w:t>
      </w:r>
    </w:p>
    <w:p>
      <w:pPr>
        <w:tabs>
          <w:tab w:val="left" w:pos="2220"/>
          <w:tab w:val="center" w:pos="4462"/>
        </w:tabs>
        <w:ind w:firstLine="525"/>
        <w:jc w:val="left"/>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pStyle w:val="5"/>
        <w:rPr>
          <w:rFonts w:ascii="宋体" w:hAnsi="宋体" w:cs="华文楷体"/>
          <w:b/>
          <w:bCs/>
          <w:color w:val="auto"/>
          <w:sz w:val="28"/>
          <w:szCs w:val="28"/>
        </w:rPr>
      </w:pPr>
    </w:p>
    <w:p>
      <w:pPr>
        <w:pStyle w:val="5"/>
        <w:rPr>
          <w:rFonts w:ascii="宋体" w:hAnsi="宋体" w:cs="华文楷体"/>
          <w:b/>
          <w:bCs/>
          <w:color w:val="auto"/>
          <w:sz w:val="28"/>
          <w:szCs w:val="28"/>
        </w:rPr>
      </w:pPr>
    </w:p>
    <w:p>
      <w:pPr>
        <w:pStyle w:val="5"/>
        <w:rPr>
          <w:rFonts w:ascii="宋体" w:hAnsi="宋体" w:cs="华文楷体"/>
          <w:b/>
          <w:bCs/>
          <w:color w:val="auto"/>
          <w:sz w:val="28"/>
          <w:szCs w:val="28"/>
        </w:rPr>
      </w:pPr>
    </w:p>
    <w:p>
      <w:pPr>
        <w:pStyle w:val="5"/>
        <w:rPr>
          <w:rFonts w:ascii="宋体" w:hAnsi="宋体" w:cs="华文楷体"/>
          <w:b/>
          <w:bCs/>
          <w:color w:val="auto"/>
          <w:sz w:val="28"/>
          <w:szCs w:val="28"/>
        </w:rPr>
      </w:pPr>
    </w:p>
    <w:p>
      <w:pPr>
        <w:pStyle w:val="5"/>
        <w:rPr>
          <w:rFonts w:ascii="宋体" w:hAnsi="宋体" w:cs="华文楷体"/>
          <w:b/>
          <w:bCs/>
          <w:color w:val="auto"/>
          <w:sz w:val="28"/>
          <w:szCs w:val="28"/>
        </w:rPr>
      </w:pPr>
    </w:p>
    <w:p>
      <w:pPr>
        <w:pStyle w:val="5"/>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spacing w:line="360" w:lineRule="auto"/>
        <w:ind w:firstLine="2249" w:firstLineChars="700"/>
        <w:rPr>
          <w:rFonts w:hint="eastAsia" w:hAnsi="宋体" w:eastAsia="宋体"/>
          <w:b/>
          <w:bCs/>
          <w:color w:val="auto"/>
          <w:sz w:val="32"/>
          <w:szCs w:val="32"/>
          <w:lang w:eastAsia="zh-CN"/>
        </w:rPr>
      </w:pPr>
      <w:r>
        <w:rPr>
          <w:rFonts w:hint="eastAsia" w:hAnsi="宋体"/>
          <w:b/>
          <w:bCs/>
          <w:color w:val="auto"/>
          <w:sz w:val="32"/>
          <w:szCs w:val="32"/>
        </w:rPr>
        <w:t>委托人：</w:t>
      </w:r>
      <w:r>
        <w:rPr>
          <w:rFonts w:hint="eastAsia" w:ascii="新宋体" w:hAnsi="新宋体" w:eastAsia="新宋体" w:cs="新宋体"/>
          <w:color w:val="auto"/>
          <w:sz w:val="32"/>
          <w:szCs w:val="32"/>
          <w:u w:val="single"/>
          <w:lang w:eastAsia="zh-CN"/>
        </w:rPr>
        <w:t>河池市金峰投资开发有限公司</w:t>
      </w:r>
    </w:p>
    <w:p>
      <w:pPr>
        <w:spacing w:line="360" w:lineRule="auto"/>
        <w:ind w:firstLine="2249" w:firstLineChars="700"/>
        <w:rPr>
          <w:rFonts w:hint="default" w:hAnsi="宋体" w:eastAsia="宋体"/>
          <w:b/>
          <w:bCs/>
          <w:color w:val="auto"/>
          <w:sz w:val="32"/>
          <w:szCs w:val="32"/>
          <w:u w:val="single"/>
          <w:lang w:val="en-US" w:eastAsia="zh-CN"/>
        </w:rPr>
      </w:pPr>
      <w:r>
        <w:rPr>
          <w:rFonts w:hint="eastAsia" w:hAnsi="宋体"/>
          <w:b/>
          <w:bCs/>
          <w:color w:val="auto"/>
          <w:sz w:val="32"/>
          <w:szCs w:val="32"/>
          <w:lang w:eastAsia="zh-CN"/>
        </w:rPr>
        <w:t>咨询</w:t>
      </w:r>
      <w:r>
        <w:rPr>
          <w:rFonts w:hint="eastAsia" w:hAnsi="宋体"/>
          <w:b/>
          <w:bCs/>
          <w:color w:val="auto"/>
          <w:sz w:val="32"/>
          <w:szCs w:val="32"/>
        </w:rPr>
        <w:t>人：</w:t>
      </w:r>
      <w:r>
        <w:rPr>
          <w:rFonts w:hint="eastAsia" w:hAnsi="宋体"/>
          <w:b/>
          <w:bCs/>
          <w:color w:val="auto"/>
          <w:sz w:val="32"/>
          <w:szCs w:val="32"/>
          <w:u w:val="single"/>
          <w:lang w:val="en-US" w:eastAsia="zh-CN"/>
        </w:rPr>
        <w:t xml:space="preserve">                          </w:t>
      </w:r>
    </w:p>
    <w:p>
      <w:pPr>
        <w:jc w:val="left"/>
        <w:rPr>
          <w:rFonts w:ascii="黑体" w:hAnsi="黑体" w:eastAsia="黑体" w:cs="黑体"/>
          <w:b/>
          <w:color w:val="auto"/>
          <w:sz w:val="32"/>
          <w:szCs w:val="32"/>
        </w:rPr>
      </w:pPr>
    </w:p>
    <w:p>
      <w:pPr>
        <w:ind w:firstLine="4356" w:firstLineChars="1356"/>
        <w:jc w:val="left"/>
        <w:rPr>
          <w:rFonts w:ascii="黑体" w:hAnsi="黑体" w:eastAsia="黑体" w:cs="黑体"/>
          <w:b/>
          <w:color w:val="auto"/>
          <w:sz w:val="32"/>
          <w:szCs w:val="32"/>
        </w:rPr>
        <w:sectPr>
          <w:headerReference r:id="rId6" w:type="first"/>
          <w:footerReference r:id="rId9" w:type="first"/>
          <w:headerReference r:id="rId4" w:type="default"/>
          <w:footerReference r:id="rId7" w:type="default"/>
          <w:headerReference r:id="rId5" w:type="even"/>
          <w:footerReference r:id="rId8" w:type="even"/>
          <w:pgSz w:w="11906" w:h="16838"/>
          <w:pgMar w:top="1440" w:right="1080" w:bottom="1440" w:left="1080" w:header="964" w:footer="964" w:gutter="0"/>
          <w:pgNumType w:start="1"/>
          <w:cols w:space="720" w:num="1"/>
          <w:titlePg/>
          <w:docGrid w:type="lines" w:linePitch="312" w:charSpace="0"/>
        </w:sectPr>
      </w:pPr>
    </w:p>
    <w:p>
      <w:pPr>
        <w:jc w:val="center"/>
        <w:rPr>
          <w:rFonts w:ascii="宋体" w:hAnsi="宋体" w:eastAsia="方正小标宋简体"/>
          <w:b/>
          <w:color w:val="auto"/>
          <w:sz w:val="28"/>
          <w:szCs w:val="28"/>
        </w:rPr>
      </w:pPr>
      <w:r>
        <w:rPr>
          <w:rFonts w:hint="eastAsia" w:ascii="方正小标宋简体" w:hAnsi="方正小标宋简体" w:eastAsia="方正小标宋简体" w:cs="方正小标宋简体"/>
          <w:color w:val="auto"/>
          <w:sz w:val="32"/>
          <w:szCs w:val="32"/>
          <w:u w:val="single"/>
        </w:rPr>
        <w:t>河池市宜州区燕山片区新型城镇化项目城区基础设施道路工程造价咨询合同（招标控制价</w:t>
      </w:r>
      <w:r>
        <w:rPr>
          <w:rFonts w:hint="eastAsia" w:ascii="方正小标宋简体" w:hAnsi="方正小标宋简体" w:eastAsia="方正小标宋简体" w:cs="方正小标宋简体"/>
          <w:color w:val="auto"/>
          <w:sz w:val="32"/>
          <w:szCs w:val="32"/>
          <w:u w:val="single"/>
          <w:lang w:eastAsia="zh-CN"/>
        </w:rPr>
        <w:t>编制</w:t>
      </w:r>
      <w:r>
        <w:rPr>
          <w:rFonts w:hint="eastAsia" w:ascii="方正小标宋简体" w:hAnsi="方正小标宋简体" w:eastAsia="方正小标宋简体" w:cs="方正小标宋简体"/>
          <w:color w:val="auto"/>
          <w:sz w:val="32"/>
          <w:szCs w:val="32"/>
          <w:u w:val="single"/>
        </w:rPr>
        <w:t>）</w:t>
      </w:r>
    </w:p>
    <w:p>
      <w:pPr>
        <w:widowControl/>
        <w:spacing w:line="360" w:lineRule="auto"/>
        <w:jc w:val="left"/>
        <w:rPr>
          <w:rFonts w:ascii="仿宋" w:hAnsi="仿宋" w:eastAsia="仿宋" w:cs="仿宋"/>
          <w:color w:val="auto"/>
          <w:sz w:val="30"/>
          <w:szCs w:val="30"/>
        </w:rPr>
      </w:pPr>
      <w:r>
        <w:rPr>
          <w:rFonts w:hint="eastAsia" w:ascii="仿宋" w:hAnsi="仿宋" w:eastAsia="仿宋" w:cs="仿宋"/>
          <w:color w:val="auto"/>
          <w:sz w:val="30"/>
          <w:szCs w:val="30"/>
        </w:rPr>
        <w:t>委托人（全称）：</w:t>
      </w:r>
      <w:r>
        <w:rPr>
          <w:rFonts w:hint="eastAsia" w:ascii="仿宋" w:hAnsi="仿宋" w:eastAsia="仿宋" w:cs="仿宋"/>
          <w:color w:val="auto"/>
          <w:sz w:val="30"/>
          <w:szCs w:val="30"/>
          <w:u w:val="single"/>
          <w:lang w:eastAsia="zh-CN"/>
        </w:rPr>
        <w:t>河池市金峰投资开发有限公司</w:t>
      </w:r>
      <w:r>
        <w:rPr>
          <w:rFonts w:hint="eastAsia" w:ascii="仿宋" w:hAnsi="仿宋" w:eastAsia="仿宋" w:cs="仿宋"/>
          <w:color w:val="auto"/>
          <w:sz w:val="30"/>
          <w:szCs w:val="30"/>
          <w:u w:val="single"/>
        </w:rPr>
        <w:t xml:space="preserve"> </w:t>
      </w:r>
    </w:p>
    <w:p>
      <w:pPr>
        <w:widowControl/>
        <w:spacing w:line="360" w:lineRule="auto"/>
        <w:jc w:val="left"/>
        <w:rPr>
          <w:rFonts w:hint="default" w:ascii="仿宋" w:hAnsi="仿宋" w:eastAsia="仿宋" w:cs="仿宋"/>
          <w:color w:val="auto"/>
          <w:sz w:val="30"/>
          <w:szCs w:val="30"/>
          <w:u w:val="single"/>
          <w:lang w:val="en-US" w:eastAsia="zh-CN"/>
        </w:rPr>
      </w:pPr>
      <w:r>
        <w:rPr>
          <w:rFonts w:hint="eastAsia" w:ascii="仿宋" w:hAnsi="仿宋" w:eastAsia="仿宋" w:cs="仿宋"/>
          <w:color w:val="auto"/>
          <w:sz w:val="30"/>
          <w:szCs w:val="30"/>
        </w:rPr>
        <w:t>咨询人（全称）：</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 xml:space="preserve">                        </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根据《中华人民共和国</w:t>
      </w:r>
      <w:r>
        <w:rPr>
          <w:rFonts w:hint="eastAsia" w:ascii="仿宋" w:hAnsi="仿宋" w:eastAsia="仿宋" w:cs="仿宋"/>
          <w:color w:val="auto"/>
          <w:sz w:val="30"/>
          <w:szCs w:val="30"/>
          <w:lang w:eastAsia="zh-CN"/>
        </w:rPr>
        <w:t>民法典</w:t>
      </w:r>
      <w:r>
        <w:rPr>
          <w:rFonts w:hint="eastAsia" w:ascii="仿宋" w:hAnsi="仿宋" w:eastAsia="仿宋" w:cs="仿宋"/>
          <w:color w:val="auto"/>
          <w:sz w:val="30"/>
          <w:szCs w:val="30"/>
        </w:rPr>
        <w:t>》及其他有关法律、法规，遵循平等、自愿、公平和诚实信用的原则，双方就下述建设工程委托造价咨询与其他服务事项协商一致，订立本合同。</w:t>
      </w:r>
    </w:p>
    <w:p>
      <w:pPr>
        <w:widowControl/>
        <w:spacing w:line="360" w:lineRule="auto"/>
        <w:jc w:val="left"/>
        <w:rPr>
          <w:rFonts w:ascii="仿宋" w:hAnsi="仿宋" w:eastAsia="仿宋" w:cs="仿宋"/>
          <w:b/>
          <w:bCs/>
          <w:color w:val="auto"/>
          <w:sz w:val="30"/>
          <w:szCs w:val="30"/>
        </w:rPr>
      </w:pPr>
      <w:r>
        <w:rPr>
          <w:rFonts w:hint="eastAsia" w:ascii="仿宋" w:hAnsi="仿宋" w:eastAsia="仿宋" w:cs="仿宋"/>
          <w:b/>
          <w:bCs/>
          <w:color w:val="auto"/>
          <w:sz w:val="30"/>
          <w:szCs w:val="30"/>
        </w:rPr>
        <w:t>一</w:t>
      </w:r>
      <w:r>
        <w:rPr>
          <w:rFonts w:hint="eastAsia" w:ascii="仿宋" w:hAnsi="仿宋" w:eastAsia="仿宋" w:cs="仿宋"/>
          <w:b w:val="0"/>
          <w:bCs w:val="0"/>
          <w:color w:val="auto"/>
          <w:sz w:val="30"/>
          <w:szCs w:val="30"/>
        </w:rPr>
        <w:t>、工程概况</w:t>
      </w:r>
    </w:p>
    <w:p>
      <w:pPr>
        <w:widowControl/>
        <w:spacing w:line="360" w:lineRule="auto"/>
        <w:ind w:firstLine="600" w:firstLineChars="200"/>
        <w:jc w:val="left"/>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河池市宜州区燕山片区新型城镇化项目城区基础设施道路工程位于河池市宜州城区燕山片区，由山水一路中段、燕山路、龙岗中路、福龙路北段四部分组成长共1766米。其中，山水一路中段道路建设工程，长853.88米，宽18米；燕山路道路建设工程，长496.93米，宽32米；龙岗中路道路建设工程，长220.01米，宽24米；福龙路北段道路建设工程，长195.28米，宽24米。建设内容主要包括道路工程、交通工程、雨水工程、污水工程、给水工程、照明工程、绿化工程、通信工程。项目采用EPC（设计+施工）工程总承包发包模式建设。项目投资估算7879.5万元（不含土地成本），其中工程费用5770.52万元。</w:t>
      </w:r>
    </w:p>
    <w:p>
      <w:pPr>
        <w:widowControl/>
        <w:spacing w:line="360" w:lineRule="auto"/>
        <w:jc w:val="left"/>
        <w:rPr>
          <w:rFonts w:ascii="仿宋" w:hAnsi="仿宋" w:eastAsia="仿宋" w:cs="仿宋"/>
          <w:b w:val="0"/>
          <w:bCs w:val="0"/>
          <w:color w:val="auto"/>
          <w:sz w:val="30"/>
          <w:szCs w:val="30"/>
        </w:rPr>
      </w:pPr>
      <w:r>
        <w:rPr>
          <w:rFonts w:hint="eastAsia" w:ascii="仿宋" w:hAnsi="仿宋" w:eastAsia="仿宋" w:cs="仿宋"/>
          <w:b w:val="0"/>
          <w:bCs w:val="0"/>
          <w:color w:val="auto"/>
          <w:sz w:val="30"/>
          <w:szCs w:val="30"/>
        </w:rPr>
        <w:t>二、服务范围及工作内容</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双方约定的服务范围及工作内容： 河池市宜州区燕山片区新型城镇化项目城区基础设施道路</w:t>
      </w:r>
      <w:r>
        <w:rPr>
          <w:rFonts w:hint="eastAsia" w:ascii="仿宋" w:hAnsi="仿宋" w:eastAsia="仿宋" w:cs="仿宋"/>
          <w:color w:val="auto"/>
          <w:sz w:val="30"/>
          <w:szCs w:val="30"/>
          <w:lang w:eastAsia="zh-CN"/>
        </w:rPr>
        <w:t>招标控制价编制</w:t>
      </w:r>
      <w:r>
        <w:rPr>
          <w:rFonts w:hint="eastAsia" w:ascii="仿宋" w:hAnsi="仿宋" w:eastAsia="仿宋" w:cs="仿宋"/>
          <w:color w:val="auto"/>
          <w:sz w:val="30"/>
          <w:szCs w:val="30"/>
        </w:rPr>
        <w:t xml:space="preserve"> 。 </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服务期限：合同签订至</w:t>
      </w:r>
      <w:r>
        <w:rPr>
          <w:rFonts w:hint="eastAsia" w:ascii="仿宋" w:hAnsi="仿宋" w:eastAsia="仿宋" w:cs="仿宋"/>
          <w:color w:val="auto"/>
          <w:sz w:val="30"/>
          <w:szCs w:val="30"/>
          <w:lang w:eastAsia="zh-CN"/>
        </w:rPr>
        <w:t>招标控制价审核</w:t>
      </w:r>
      <w:r>
        <w:rPr>
          <w:rFonts w:hint="eastAsia" w:ascii="仿宋" w:hAnsi="仿宋" w:eastAsia="仿宋" w:cs="仿宋"/>
          <w:color w:val="auto"/>
          <w:sz w:val="30"/>
          <w:szCs w:val="30"/>
        </w:rPr>
        <w:t>完成。</w:t>
      </w:r>
    </w:p>
    <w:p>
      <w:pPr>
        <w:widowControl/>
        <w:spacing w:line="360" w:lineRule="auto"/>
        <w:ind w:left="298" w:leftChars="142" w:firstLine="612" w:firstLineChars="204"/>
        <w:jc w:val="left"/>
        <w:rPr>
          <w:rFonts w:asciiTheme="minorEastAsia" w:hAnsiTheme="minorEastAsia" w:eastAsiaTheme="minorEastAsia" w:cstheme="minorEastAsia"/>
          <w:bCs/>
          <w:color w:val="auto"/>
          <w:szCs w:val="21"/>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成果文件完成时间</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咨询人必须在委托人提供图纸等资料的</w:t>
      </w:r>
      <w:r>
        <w:rPr>
          <w:rFonts w:hint="eastAsia" w:ascii="仿宋" w:hAnsi="仿宋" w:eastAsia="仿宋" w:cs="仿宋"/>
          <w:color w:val="auto"/>
          <w:sz w:val="30"/>
          <w:szCs w:val="30"/>
          <w:u w:val="single"/>
          <w:lang w:val="en-US" w:eastAsia="zh-CN"/>
        </w:rPr>
        <w:t xml:space="preserve"> 10 </w:t>
      </w:r>
      <w:r>
        <w:rPr>
          <w:rFonts w:hint="eastAsia" w:ascii="仿宋" w:hAnsi="仿宋" w:eastAsia="仿宋" w:cs="仿宋"/>
          <w:color w:val="auto"/>
          <w:sz w:val="30"/>
          <w:szCs w:val="30"/>
          <w:u w:val="none"/>
          <w:lang w:eastAsia="zh-CN"/>
        </w:rPr>
        <w:t>日</w:t>
      </w:r>
      <w:r>
        <w:rPr>
          <w:rFonts w:hint="eastAsia" w:ascii="仿宋" w:hAnsi="仿宋" w:eastAsia="仿宋" w:cs="仿宋"/>
          <w:color w:val="auto"/>
          <w:sz w:val="30"/>
          <w:szCs w:val="30"/>
          <w:lang w:eastAsia="zh-CN"/>
        </w:rPr>
        <w:t>完成招标控制价的编制工作。</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咨询人在对数过程中，因争议问题不能形成审核结论的，应做好书面记录报委托人，经批准后可延长审核时间。由于项目点分散、工程结算复杂等特殊原因不能在上述时间内完成的项目，由中介机构向委托人另行申请延时。</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（2）咨询人无故延长审核时间，委托人除扣减审核费（按每逾期一天扣减该项目委托审核费的0.4%计算）；审核时间延迟</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个工作日以上的视为受托人无法完成该项目造价审核工作，委托人有权收回工程资料，扣除该项目的委托审核业务费，并解除合同。</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3）本工程在咨询过程中咨询人派造价技术人员与河池市财政评审中心或市审计局对造价文件进行核对，如不派造价技术人员与河池市财政评审中心或审计局进行相应造价文件的核对工作则视为违约，在此过程中以委托人催告一次为限（一次</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个工作日为限）催告第二次开始视为违约一次，催告第三次视为违约第二次……以此类推。每违约一次扣除人民币壹仟元。</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四、质量标准：</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咨询人要严格遵守国家的法律、法规和有关规章制度，严格遵守各自行业的行为准则、审核规程及质量要求，严格遵守《政府投资项目审计规定》、《广西壮族自治区政府投资建设项目审计办法》、《工程造价咨询单位执业行为准则》、《造价工程师职业道德行为准则》及与委托人签订的合同的相关规定、考评办法。</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2.咨询人按国家、自治区及行业规范要求进行编制成果文件，并对成果文件负责,成果文件须经过河池市财政评中心审批及委托人认可。</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3. 审核质量偏差</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（1）造价审核质量在同一口径下误差不得超过3％(含3％)，经委托人复核如超出误差范围，咨询人应按委托人的复核意见调整造价审核结论，项目重审不计算第二次委托代理业务费。</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（2）市财政局评审中心复核审定造价与咨询人审定造价误差在</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%～7%的，</w:t>
      </w:r>
      <w:r>
        <w:rPr>
          <w:rFonts w:hint="eastAsia" w:ascii="仿宋" w:hAnsi="仿宋" w:eastAsia="仿宋" w:cs="仿宋"/>
          <w:color w:val="auto"/>
          <w:sz w:val="30"/>
          <w:szCs w:val="30"/>
          <w:lang w:eastAsia="zh-CN"/>
        </w:rPr>
        <w:t>相应</w:t>
      </w:r>
      <w:r>
        <w:rPr>
          <w:rFonts w:hint="eastAsia" w:ascii="仿宋" w:hAnsi="仿宋" w:eastAsia="仿宋" w:cs="仿宋"/>
          <w:color w:val="auto"/>
          <w:sz w:val="30"/>
          <w:szCs w:val="30"/>
        </w:rPr>
        <w:t>扣减委托代理业务费的20%～</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0%；误差在7%以上的，扣减委托代理业务费的50%；在委托协议期间内有两次误差率超过7%或有一次误差率超过20%以上的，委托人有权取消咨询人受托审核资格。</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3.每年终将对咨询人受托审核项目的审核准确性及廉政情况进行年度考评，其考评成果将存档，以备查验，作为评定咨询人业务质量和执业道德的依据。</w:t>
      </w:r>
    </w:p>
    <w:p>
      <w:pPr>
        <w:widowControl/>
        <w:spacing w:line="360" w:lineRule="auto"/>
        <w:ind w:firstLine="640"/>
        <w:jc w:val="left"/>
        <w:rPr>
          <w:rFonts w:hint="eastAsia" w:ascii="仿宋" w:hAnsi="仿宋" w:eastAsia="仿宋" w:cs="仿宋"/>
          <w:color w:val="auto"/>
          <w:sz w:val="30"/>
          <w:szCs w:val="30"/>
        </w:rPr>
      </w:pPr>
      <w:r>
        <w:rPr>
          <w:rFonts w:hint="eastAsia" w:ascii="仿宋" w:hAnsi="仿宋" w:eastAsia="仿宋" w:cs="仿宋"/>
          <w:color w:val="auto"/>
          <w:sz w:val="30"/>
          <w:szCs w:val="30"/>
        </w:rPr>
        <w:t>五、</w:t>
      </w:r>
      <w:r>
        <w:rPr>
          <w:rFonts w:hint="eastAsia" w:ascii="仿宋" w:hAnsi="仿宋" w:eastAsia="仿宋" w:cs="仿宋"/>
          <w:color w:val="auto"/>
          <w:sz w:val="30"/>
          <w:szCs w:val="30"/>
          <w:lang w:eastAsia="zh-CN"/>
        </w:rPr>
        <w:t>咨询费用</w:t>
      </w:r>
    </w:p>
    <w:p>
      <w:pPr>
        <w:widowControl/>
        <w:spacing w:line="360" w:lineRule="auto"/>
        <w:ind w:firstLine="640"/>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（1）服务费率为：1000万以下收费标准为3.9‰，1000~5000万元（含）收费标准为3‰，5000万元~2亿元（含）收费标准为2.6‰。</w:t>
      </w:r>
    </w:p>
    <w:p>
      <w:pPr>
        <w:widowControl/>
        <w:spacing w:line="360" w:lineRule="auto"/>
        <w:ind w:firstLine="640"/>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招标控制价编制费用以市财政局评审中心复核审定价为基数</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lang w:eastAsia="zh-CN"/>
        </w:rPr>
        <w:t>服务费</w:t>
      </w:r>
      <w:r>
        <w:rPr>
          <w:rFonts w:hint="eastAsia" w:ascii="仿宋" w:hAnsi="仿宋" w:eastAsia="仿宋" w:cs="仿宋"/>
          <w:color w:val="auto"/>
          <w:sz w:val="30"/>
          <w:szCs w:val="30"/>
        </w:rPr>
        <w:t>率</w:t>
      </w:r>
      <w:r>
        <w:rPr>
          <w:rFonts w:hint="eastAsia" w:ascii="仿宋" w:hAnsi="仿宋" w:eastAsia="仿宋" w:cs="仿宋"/>
          <w:color w:val="auto"/>
          <w:sz w:val="30"/>
          <w:szCs w:val="30"/>
          <w:lang w:val="en-US" w:eastAsia="zh-CN"/>
        </w:rPr>
        <w:t>×（1-下浮系数）×</w:t>
      </w:r>
      <w:r>
        <w:rPr>
          <w:rFonts w:hint="eastAsia" w:ascii="仿宋" w:hAnsi="仿宋" w:eastAsia="仿宋" w:cs="仿宋"/>
          <w:color w:val="auto"/>
          <w:sz w:val="30"/>
          <w:szCs w:val="30"/>
        </w:rPr>
        <w:t>0.8，按差额定率分档累进计算</w:t>
      </w:r>
      <w:r>
        <w:rPr>
          <w:rFonts w:hint="eastAsia" w:ascii="仿宋" w:hAnsi="仿宋" w:eastAsia="仿宋" w:cs="仿宋"/>
          <w:color w:val="auto"/>
          <w:sz w:val="30"/>
          <w:szCs w:val="30"/>
          <w:lang w:eastAsia="zh-CN"/>
        </w:rPr>
        <w:t>。</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六、合同文件的构成</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本协议书与下列文件一起构成合同文件:</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1.专用条件；</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2.通用条件；</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上述各项合同文件包括合同当事人就该项合同文件所作出的补充和修改，属于同一类内容的文件，应以最新签署的为准。</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在合同订立及履行过程中形成的与合同有关的文件（包括补充协议）均构成合同文件的组成部分。</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七、词语定义</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协议书中相关词语的含义与通用条件中的定义与解释相同。</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八、合同订立</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1.订立时间：202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 xml:space="preserve">年   月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 xml:space="preserve"> 日。</w:t>
      </w:r>
    </w:p>
    <w:p>
      <w:pPr>
        <w:widowControl/>
        <w:spacing w:line="360" w:lineRule="auto"/>
        <w:ind w:firstLine="640"/>
        <w:jc w:val="left"/>
        <w:rPr>
          <w:rFonts w:hint="eastAsia" w:ascii="仿宋" w:hAnsi="仿宋" w:eastAsia="仿宋" w:cs="仿宋"/>
          <w:color w:val="auto"/>
          <w:sz w:val="30"/>
          <w:szCs w:val="30"/>
          <w:lang w:eastAsia="zh-CN"/>
        </w:rPr>
      </w:pPr>
      <w:r>
        <w:rPr>
          <w:rFonts w:hint="eastAsia" w:ascii="仿宋" w:hAnsi="仿宋" w:eastAsia="仿宋" w:cs="仿宋"/>
          <w:color w:val="auto"/>
          <w:sz w:val="30"/>
          <w:szCs w:val="30"/>
        </w:rPr>
        <w:t>2.订立地点：</w:t>
      </w:r>
      <w:r>
        <w:rPr>
          <w:rFonts w:hint="eastAsia" w:ascii="仿宋" w:hAnsi="仿宋" w:eastAsia="仿宋" w:cs="仿宋"/>
          <w:color w:val="auto"/>
          <w:sz w:val="30"/>
          <w:szCs w:val="30"/>
          <w:lang w:eastAsia="zh-CN"/>
        </w:rPr>
        <w:t>河池市宜州区</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九、合同生效</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合同从签订之日起生效，至协助建设单位完成项目</w:t>
      </w:r>
      <w:r>
        <w:rPr>
          <w:rFonts w:hint="eastAsia" w:ascii="仿宋" w:hAnsi="仿宋" w:eastAsia="仿宋" w:cs="仿宋"/>
          <w:color w:val="auto"/>
          <w:sz w:val="30"/>
          <w:szCs w:val="30"/>
          <w:lang w:eastAsia="zh-CN"/>
        </w:rPr>
        <w:t>招标控制价审核</w:t>
      </w:r>
      <w:r>
        <w:rPr>
          <w:rFonts w:hint="eastAsia" w:ascii="仿宋" w:hAnsi="仿宋" w:eastAsia="仿宋" w:cs="仿宋"/>
          <w:color w:val="auto"/>
          <w:sz w:val="30"/>
          <w:szCs w:val="30"/>
        </w:rPr>
        <w:t>完毕为止。</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十、合同份数</w:t>
      </w:r>
    </w:p>
    <w:p>
      <w:pPr>
        <w:widowControl/>
        <w:spacing w:line="360" w:lineRule="auto"/>
        <w:ind w:firstLine="640"/>
        <w:jc w:val="left"/>
        <w:rPr>
          <w:rFonts w:hint="eastAsia" w:ascii="仿宋" w:hAnsi="仿宋" w:eastAsia="仿宋" w:cs="仿宋"/>
          <w:color w:val="auto"/>
          <w:sz w:val="30"/>
          <w:szCs w:val="30"/>
        </w:rPr>
      </w:pPr>
      <w:r>
        <w:rPr>
          <w:rFonts w:hint="eastAsia" w:ascii="仿宋" w:hAnsi="仿宋" w:eastAsia="仿宋" w:cs="仿宋"/>
          <w:color w:val="auto"/>
          <w:sz w:val="30"/>
          <w:szCs w:val="30"/>
        </w:rPr>
        <w:t>本合同一式</w:t>
      </w:r>
      <w:r>
        <w:rPr>
          <w:rFonts w:hint="eastAsia" w:ascii="仿宋" w:hAnsi="仿宋" w:eastAsia="仿宋" w:cs="仿宋"/>
          <w:color w:val="auto"/>
          <w:sz w:val="30"/>
          <w:szCs w:val="30"/>
          <w:u w:val="single"/>
        </w:rPr>
        <w:t>肆</w:t>
      </w:r>
      <w:r>
        <w:rPr>
          <w:rFonts w:hint="eastAsia" w:ascii="仿宋" w:hAnsi="仿宋" w:eastAsia="仿宋" w:cs="仿宋"/>
          <w:color w:val="auto"/>
          <w:sz w:val="30"/>
          <w:szCs w:val="30"/>
        </w:rPr>
        <w:t>份，具有同等法律效力，其中委托人执</w:t>
      </w:r>
      <w:r>
        <w:rPr>
          <w:rFonts w:hint="eastAsia" w:ascii="仿宋" w:hAnsi="仿宋" w:eastAsia="仿宋" w:cs="仿宋"/>
          <w:color w:val="auto"/>
          <w:sz w:val="30"/>
          <w:szCs w:val="30"/>
          <w:u w:val="single"/>
        </w:rPr>
        <w:t>贰</w:t>
      </w:r>
      <w:r>
        <w:rPr>
          <w:rFonts w:hint="eastAsia" w:ascii="仿宋" w:hAnsi="仿宋" w:eastAsia="仿宋" w:cs="仿宋"/>
          <w:color w:val="auto"/>
          <w:sz w:val="30"/>
          <w:szCs w:val="30"/>
        </w:rPr>
        <w:t>份，咨询人执</w:t>
      </w:r>
      <w:r>
        <w:rPr>
          <w:rFonts w:hint="eastAsia" w:ascii="仿宋" w:hAnsi="仿宋" w:eastAsia="仿宋" w:cs="仿宋"/>
          <w:color w:val="auto"/>
          <w:sz w:val="30"/>
          <w:szCs w:val="30"/>
          <w:u w:val="single"/>
        </w:rPr>
        <w:t>贰</w:t>
      </w:r>
      <w:r>
        <w:rPr>
          <w:rFonts w:hint="eastAsia" w:ascii="仿宋" w:hAnsi="仿宋" w:eastAsia="仿宋" w:cs="仿宋"/>
          <w:color w:val="auto"/>
          <w:sz w:val="30"/>
          <w:szCs w:val="30"/>
        </w:rPr>
        <w:t>份。</w:t>
      </w:r>
    </w:p>
    <w:p>
      <w:pPr>
        <w:pStyle w:val="5"/>
        <w:rPr>
          <w:color w:val="auto"/>
        </w:rPr>
      </w:pPr>
    </w:p>
    <w:tbl>
      <w:tblPr>
        <w:tblStyle w:val="8"/>
        <w:tblpPr w:leftFromText="180" w:rightFromText="180" w:vertAnchor="text" w:horzAnchor="page" w:tblpXSpec="center" w:tblpY="1228"/>
        <w:tblOverlap w:val="never"/>
        <w:tblW w:w="9869" w:type="dxa"/>
        <w:jc w:val="center"/>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ascii="宋体" w:hAnsi="宋体" w:cs="Arial"/>
                <w:color w:val="auto"/>
                <w:kern w:val="0"/>
                <w:sz w:val="24"/>
                <w:szCs w:val="24"/>
              </w:rPr>
              <w:t>委托人(盖章)：</w:t>
            </w:r>
            <w:r>
              <w:rPr>
                <w:rFonts w:hint="eastAsia" w:ascii="宋体" w:hAnsi="宋体" w:cs="Arial"/>
                <w:color w:val="auto"/>
                <w:kern w:val="0"/>
                <w:sz w:val="24"/>
                <w:szCs w:val="24"/>
                <w:lang w:eastAsia="zh-CN"/>
              </w:rPr>
              <w:t>河池市金峰投资开发有限公司</w:t>
            </w:r>
          </w:p>
        </w:tc>
        <w:tc>
          <w:tcPr>
            <w:tcW w:w="4528" w:type="dxa"/>
            <w:vAlign w:val="center"/>
          </w:tcPr>
          <w:p>
            <w:pPr>
              <w:widowControl/>
              <w:rPr>
                <w:rFonts w:hint="eastAsia" w:ascii="宋体" w:hAnsi="宋体" w:eastAsia="宋体" w:cs="Arial"/>
                <w:color w:val="auto"/>
                <w:kern w:val="0"/>
                <w:sz w:val="24"/>
                <w:szCs w:val="24"/>
                <w:lang w:eastAsia="zh-CN"/>
              </w:rPr>
            </w:pPr>
            <w:r>
              <w:rPr>
                <w:rFonts w:hint="eastAsia" w:ascii="宋体" w:hAnsi="宋体" w:cs="Arial"/>
                <w:color w:val="auto"/>
                <w:kern w:val="0"/>
                <w:sz w:val="24"/>
                <w:szCs w:val="24"/>
              </w:rPr>
              <w:t>受托人(盖章)：</w:t>
            </w:r>
          </w:p>
        </w:tc>
      </w:tr>
      <w:tr>
        <w:tblPrEx>
          <w:tblCellMar>
            <w:top w:w="0" w:type="dxa"/>
            <w:left w:w="108" w:type="dxa"/>
            <w:bottom w:w="0" w:type="dxa"/>
            <w:right w:w="108" w:type="dxa"/>
          </w:tblCellMar>
        </w:tblPrEx>
        <w:trPr>
          <w:trHeight w:val="923" w:hRule="atLeast"/>
          <w:jc w:val="center"/>
        </w:trPr>
        <w:tc>
          <w:tcPr>
            <w:tcW w:w="5341" w:type="dxa"/>
            <w:vAlign w:val="center"/>
          </w:tcPr>
          <w:p>
            <w:pPr>
              <w:widowControl/>
              <w:rPr>
                <w:rFonts w:ascii="宋体" w:hAnsi="宋体"/>
                <w:color w:val="auto"/>
                <w:sz w:val="24"/>
                <w:szCs w:val="24"/>
              </w:rPr>
            </w:pPr>
            <w:r>
              <w:rPr>
                <w:rFonts w:hint="eastAsia" w:ascii="宋体" w:hAnsi="宋体"/>
                <w:color w:val="auto"/>
                <w:sz w:val="24"/>
                <w:szCs w:val="24"/>
              </w:rPr>
              <w:t>法定代表人或授权代理人</w:t>
            </w:r>
            <w:r>
              <w:rPr>
                <w:rFonts w:ascii="宋体" w:hAnsi="宋体"/>
                <w:color w:val="auto"/>
                <w:sz w:val="24"/>
                <w:szCs w:val="24"/>
              </w:rPr>
              <w:t>(</w:t>
            </w:r>
            <w:r>
              <w:rPr>
                <w:rFonts w:hint="eastAsia" w:ascii="宋体" w:hAnsi="宋体"/>
                <w:color w:val="auto"/>
                <w:sz w:val="24"/>
                <w:szCs w:val="24"/>
              </w:rPr>
              <w:t>签字或盖章</w:t>
            </w:r>
            <w:r>
              <w:rPr>
                <w:rFonts w:ascii="宋体" w:hAnsi="宋体"/>
                <w:color w:val="auto"/>
                <w:sz w:val="24"/>
                <w:szCs w:val="24"/>
              </w:rPr>
              <w:t>)</w:t>
            </w:r>
            <w:r>
              <w:rPr>
                <w:rFonts w:hint="eastAsia" w:ascii="宋体" w:hAnsi="宋体"/>
                <w:color w:val="auto"/>
                <w:sz w:val="24"/>
                <w:szCs w:val="24"/>
              </w:rPr>
              <w:t>：</w:t>
            </w:r>
          </w:p>
          <w:p>
            <w:pPr>
              <w:widowControl/>
              <w:rPr>
                <w:rFonts w:ascii="宋体" w:hAnsi="宋体"/>
                <w:color w:val="auto"/>
                <w:sz w:val="24"/>
                <w:szCs w:val="24"/>
              </w:rPr>
            </w:pPr>
          </w:p>
        </w:tc>
        <w:tc>
          <w:tcPr>
            <w:tcW w:w="4528" w:type="dxa"/>
            <w:vAlign w:val="center"/>
          </w:tcPr>
          <w:p>
            <w:pPr>
              <w:widowControl/>
              <w:rPr>
                <w:rFonts w:ascii="宋体" w:hAnsi="宋体" w:cs="Arial"/>
                <w:color w:val="auto"/>
                <w:kern w:val="0"/>
                <w:sz w:val="24"/>
                <w:szCs w:val="24"/>
              </w:rPr>
            </w:pPr>
            <w:r>
              <w:rPr>
                <w:rFonts w:hint="eastAsia" w:ascii="宋体" w:hAnsi="宋体"/>
                <w:color w:val="auto"/>
                <w:sz w:val="24"/>
                <w:szCs w:val="24"/>
              </w:rPr>
              <w:t>法定代表人或授权代理人</w:t>
            </w:r>
            <w:r>
              <w:rPr>
                <w:rFonts w:ascii="宋体" w:hAnsi="宋体"/>
                <w:color w:val="auto"/>
                <w:sz w:val="24"/>
                <w:szCs w:val="24"/>
              </w:rPr>
              <w:t>(</w:t>
            </w:r>
            <w:r>
              <w:rPr>
                <w:rFonts w:hint="eastAsia" w:ascii="宋体" w:hAnsi="宋体"/>
                <w:color w:val="auto"/>
                <w:sz w:val="24"/>
                <w:szCs w:val="24"/>
              </w:rPr>
              <w:t>签字或盖章</w:t>
            </w:r>
            <w:r>
              <w:rPr>
                <w:rFonts w:ascii="宋体" w:hAnsi="宋体"/>
                <w:color w:val="auto"/>
                <w:sz w:val="24"/>
                <w:szCs w:val="24"/>
              </w:rPr>
              <w:t>)</w:t>
            </w:r>
            <w:r>
              <w:rPr>
                <w:rFonts w:hint="eastAsia" w:ascii="宋体" w:hAnsi="宋体"/>
                <w:color w:val="auto"/>
                <w:sz w:val="24"/>
                <w:szCs w:val="24"/>
              </w:rPr>
              <w:t>：</w:t>
            </w:r>
          </w:p>
        </w:tc>
      </w:tr>
      <w:tr>
        <w:tblPrEx>
          <w:tblCellMar>
            <w:top w:w="0" w:type="dxa"/>
            <w:left w:w="108" w:type="dxa"/>
            <w:bottom w:w="0" w:type="dxa"/>
            <w:right w:w="108" w:type="dxa"/>
          </w:tblCellMar>
        </w:tblPrEx>
        <w:trPr>
          <w:trHeight w:val="805" w:hRule="atLeast"/>
          <w:jc w:val="center"/>
        </w:trPr>
        <w:tc>
          <w:tcPr>
            <w:tcW w:w="5341" w:type="dxa"/>
            <w:vAlign w:val="center"/>
          </w:tcPr>
          <w:p>
            <w:pPr>
              <w:widowControl/>
              <w:rPr>
                <w:rFonts w:hint="eastAsia" w:ascii="宋体" w:hAnsi="宋体" w:eastAsia="宋体" w:cs="Arial"/>
                <w:color w:val="auto"/>
                <w:kern w:val="0"/>
                <w:sz w:val="24"/>
                <w:szCs w:val="24"/>
                <w:lang w:eastAsia="zh-CN"/>
              </w:rPr>
            </w:pPr>
            <w:r>
              <w:rPr>
                <w:rFonts w:hint="eastAsia" w:ascii="宋体" w:hAnsi="宋体" w:cs="Arial"/>
                <w:color w:val="auto"/>
                <w:kern w:val="0"/>
                <w:sz w:val="24"/>
                <w:szCs w:val="24"/>
              </w:rPr>
              <w:t>经办人：</w:t>
            </w:r>
          </w:p>
        </w:tc>
        <w:tc>
          <w:tcPr>
            <w:tcW w:w="4528" w:type="dxa"/>
            <w:vAlign w:val="center"/>
          </w:tcPr>
          <w:p>
            <w:pPr>
              <w:widowControl/>
              <w:rPr>
                <w:rFonts w:ascii="宋体" w:hAnsi="宋体" w:cs="Arial"/>
                <w:b/>
                <w:color w:val="auto"/>
                <w:kern w:val="0"/>
                <w:sz w:val="24"/>
                <w:szCs w:val="24"/>
              </w:rPr>
            </w:pPr>
            <w:r>
              <w:rPr>
                <w:rFonts w:ascii="宋体" w:hAnsi="宋体" w:cs="Arial"/>
                <w:color w:val="auto"/>
                <w:kern w:val="0"/>
                <w:sz w:val="24"/>
                <w:szCs w:val="24"/>
              </w:rPr>
              <w:t>联系人：</w:t>
            </w:r>
          </w:p>
        </w:tc>
      </w:tr>
      <w:tr>
        <w:tblPrEx>
          <w:tblCellMar>
            <w:top w:w="0" w:type="dxa"/>
            <w:left w:w="108" w:type="dxa"/>
            <w:bottom w:w="0" w:type="dxa"/>
            <w:right w:w="108" w:type="dxa"/>
          </w:tblCellMar>
        </w:tblPrEx>
        <w:trPr>
          <w:trHeight w:val="693" w:hRule="atLeast"/>
          <w:jc w:val="center"/>
        </w:trPr>
        <w:tc>
          <w:tcPr>
            <w:tcW w:w="5341"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电  话：0778-2283383</w:t>
            </w:r>
          </w:p>
        </w:tc>
        <w:tc>
          <w:tcPr>
            <w:tcW w:w="4528"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电  话：</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 xml:space="preserve">地  址： </w:t>
            </w:r>
            <w:r>
              <w:rPr>
                <w:rFonts w:hint="eastAsia" w:ascii="Times New Roman" w:hAnsi="Times New Roman" w:cs="Times New Roman"/>
                <w:color w:val="auto"/>
                <w:kern w:val="0"/>
                <w:sz w:val="24"/>
                <w:szCs w:val="24"/>
                <w:lang w:eastAsia="zh-CN"/>
              </w:rPr>
              <w:t xml:space="preserve">河池市宜州区山谷路84号 </w:t>
            </w:r>
            <w:r>
              <w:rPr>
                <w:rFonts w:hint="eastAsia" w:ascii="宋体" w:hAnsi="宋体" w:cs="Arial"/>
                <w:color w:val="auto"/>
                <w:kern w:val="0"/>
                <w:sz w:val="24"/>
                <w:szCs w:val="24"/>
              </w:rPr>
              <w:t xml:space="preserve">   </w:t>
            </w:r>
          </w:p>
        </w:tc>
        <w:tc>
          <w:tcPr>
            <w:tcW w:w="4528"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地  址：</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电子邮箱：</w:t>
            </w:r>
            <w:r>
              <w:rPr>
                <w:rFonts w:ascii="宋体" w:hAnsi="宋体" w:cs="Arial"/>
                <w:color w:val="auto"/>
                <w:kern w:val="0"/>
                <w:sz w:val="24"/>
                <w:szCs w:val="24"/>
              </w:rPr>
              <w:t xml:space="preserve">   </w:t>
            </w:r>
          </w:p>
        </w:tc>
        <w:tc>
          <w:tcPr>
            <w:tcW w:w="4528" w:type="dxa"/>
            <w:vAlign w:val="center"/>
          </w:tcPr>
          <w:p>
            <w:pPr>
              <w:widowControl/>
              <w:ind w:left="1080" w:hanging="1080" w:hangingChars="450"/>
              <w:rPr>
                <w:rFonts w:ascii="宋体" w:hAnsi="宋体" w:cs="Arial"/>
                <w:color w:val="auto"/>
                <w:kern w:val="0"/>
                <w:sz w:val="24"/>
                <w:szCs w:val="24"/>
              </w:rPr>
            </w:pPr>
            <w:r>
              <w:rPr>
                <w:rFonts w:hint="eastAsia" w:ascii="宋体" w:hAnsi="宋体" w:cs="Arial"/>
                <w:color w:val="auto"/>
                <w:kern w:val="0"/>
                <w:sz w:val="24"/>
                <w:szCs w:val="24"/>
              </w:rPr>
              <w:t>电子邮箱：</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hint="eastAsia" w:ascii="宋体" w:hAnsi="宋体" w:eastAsia="宋体" w:cs="Arial"/>
                <w:color w:val="auto"/>
                <w:kern w:val="0"/>
                <w:sz w:val="24"/>
                <w:szCs w:val="24"/>
                <w:lang w:eastAsia="zh-CN"/>
              </w:rPr>
            </w:pPr>
            <w:r>
              <w:rPr>
                <w:rFonts w:hint="eastAsia" w:ascii="宋体" w:hAnsi="宋体" w:cs="Arial"/>
                <w:color w:val="auto"/>
                <w:kern w:val="0"/>
                <w:sz w:val="24"/>
                <w:szCs w:val="24"/>
              </w:rPr>
              <w:t>开户名称：</w:t>
            </w:r>
            <w:r>
              <w:rPr>
                <w:rFonts w:hint="eastAsia" w:ascii="宋体" w:hAnsi="宋体" w:cs="Arial"/>
                <w:color w:val="auto"/>
                <w:kern w:val="0"/>
                <w:sz w:val="24"/>
                <w:szCs w:val="24"/>
                <w:lang w:eastAsia="zh-CN"/>
              </w:rPr>
              <w:t>河池市金峰投资开发有限公司</w:t>
            </w:r>
          </w:p>
        </w:tc>
        <w:tc>
          <w:tcPr>
            <w:tcW w:w="4528"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开户名称：</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ascii="宋体" w:hAnsi="宋体" w:cs="Arial"/>
                <w:color w:val="auto"/>
                <w:kern w:val="0"/>
                <w:sz w:val="24"/>
                <w:szCs w:val="24"/>
              </w:rPr>
              <w:t>开户银行</w:t>
            </w:r>
            <w:r>
              <w:rPr>
                <w:rFonts w:hint="eastAsia" w:ascii="宋体" w:hAnsi="宋体" w:cs="Arial"/>
                <w:color w:val="auto"/>
                <w:kern w:val="0"/>
                <w:sz w:val="24"/>
                <w:szCs w:val="24"/>
              </w:rPr>
              <w:t>：</w:t>
            </w:r>
            <w:r>
              <w:rPr>
                <w:rFonts w:hint="eastAsia" w:ascii="宋体" w:hAnsi="宋体" w:eastAsia="宋体" w:cs="宋体"/>
                <w:color w:val="auto"/>
                <w:sz w:val="24"/>
                <w:szCs w:val="24"/>
              </w:rPr>
              <w:t>农行河池市宜州支行</w:t>
            </w:r>
          </w:p>
        </w:tc>
        <w:tc>
          <w:tcPr>
            <w:tcW w:w="4528" w:type="dxa"/>
            <w:vAlign w:val="center"/>
          </w:tcPr>
          <w:p>
            <w:pPr>
              <w:widowControl/>
              <w:rPr>
                <w:rFonts w:ascii="宋体" w:hAnsi="宋体" w:cs="Arial"/>
                <w:color w:val="auto"/>
                <w:kern w:val="0"/>
                <w:sz w:val="24"/>
                <w:szCs w:val="24"/>
              </w:rPr>
            </w:pPr>
            <w:r>
              <w:rPr>
                <w:rFonts w:ascii="宋体" w:hAnsi="宋体" w:cs="Arial"/>
                <w:color w:val="auto"/>
                <w:kern w:val="0"/>
                <w:sz w:val="24"/>
                <w:szCs w:val="24"/>
              </w:rPr>
              <w:t>开户银行</w:t>
            </w:r>
            <w:r>
              <w:rPr>
                <w:rFonts w:hint="eastAsia" w:ascii="宋体" w:hAnsi="宋体" w:cs="Arial"/>
                <w:color w:val="auto"/>
                <w:kern w:val="0"/>
                <w:sz w:val="24"/>
                <w:szCs w:val="24"/>
              </w:rPr>
              <w:t>：</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ascii="宋体" w:hAnsi="宋体" w:cs="Arial"/>
                <w:color w:val="auto"/>
                <w:kern w:val="0"/>
                <w:sz w:val="24"/>
                <w:szCs w:val="24"/>
              </w:rPr>
              <w:t>帐</w:t>
            </w:r>
            <w:r>
              <w:rPr>
                <w:rFonts w:hint="eastAsia" w:ascii="宋体" w:hAnsi="宋体" w:cs="Arial"/>
                <w:color w:val="auto"/>
                <w:kern w:val="0"/>
                <w:sz w:val="24"/>
                <w:szCs w:val="24"/>
              </w:rPr>
              <w:t xml:space="preserve">    </w:t>
            </w:r>
            <w:r>
              <w:rPr>
                <w:rFonts w:ascii="宋体" w:hAnsi="宋体" w:cs="Arial"/>
                <w:color w:val="auto"/>
                <w:kern w:val="0"/>
                <w:sz w:val="24"/>
                <w:szCs w:val="24"/>
              </w:rPr>
              <w:t>号</w:t>
            </w:r>
            <w:r>
              <w:rPr>
                <w:rFonts w:hint="eastAsia" w:ascii="宋体" w:hAnsi="宋体" w:cs="Arial"/>
                <w:color w:val="auto"/>
                <w:kern w:val="0"/>
                <w:sz w:val="24"/>
                <w:szCs w:val="24"/>
              </w:rPr>
              <w:t>：</w:t>
            </w:r>
            <w:r>
              <w:rPr>
                <w:rFonts w:hint="eastAsia" w:ascii="宋体" w:hAnsi="宋体" w:eastAsia="宋体" w:cs="宋体"/>
                <w:color w:val="auto"/>
                <w:sz w:val="24"/>
                <w:szCs w:val="24"/>
              </w:rPr>
              <w:t>20345270200100000185591</w:t>
            </w:r>
          </w:p>
        </w:tc>
        <w:tc>
          <w:tcPr>
            <w:tcW w:w="4528" w:type="dxa"/>
            <w:vAlign w:val="center"/>
          </w:tcPr>
          <w:p>
            <w:pPr>
              <w:widowControl/>
              <w:rPr>
                <w:rFonts w:ascii="宋体" w:hAnsi="宋体" w:cs="Arial"/>
                <w:color w:val="auto"/>
                <w:kern w:val="0"/>
                <w:sz w:val="24"/>
                <w:szCs w:val="24"/>
              </w:rPr>
            </w:pPr>
            <w:r>
              <w:rPr>
                <w:rFonts w:ascii="宋体" w:hAnsi="宋体" w:cs="Arial"/>
                <w:color w:val="auto"/>
                <w:kern w:val="0"/>
                <w:sz w:val="24"/>
                <w:szCs w:val="24"/>
              </w:rPr>
              <w:t>帐</w:t>
            </w:r>
            <w:r>
              <w:rPr>
                <w:rFonts w:hint="eastAsia" w:ascii="宋体" w:hAnsi="宋体" w:cs="Arial"/>
                <w:color w:val="auto"/>
                <w:kern w:val="0"/>
                <w:sz w:val="24"/>
                <w:szCs w:val="24"/>
              </w:rPr>
              <w:t xml:space="preserve">    </w:t>
            </w:r>
            <w:r>
              <w:rPr>
                <w:rFonts w:ascii="宋体" w:hAnsi="宋体" w:cs="Arial"/>
                <w:color w:val="auto"/>
                <w:kern w:val="0"/>
                <w:sz w:val="24"/>
                <w:szCs w:val="24"/>
              </w:rPr>
              <w:t>号</w:t>
            </w:r>
            <w:r>
              <w:rPr>
                <w:rFonts w:hint="eastAsia" w:ascii="宋体" w:hAnsi="宋体" w:cs="Arial"/>
                <w:color w:val="auto"/>
                <w:kern w:val="0"/>
                <w:sz w:val="24"/>
                <w:szCs w:val="24"/>
              </w:rPr>
              <w:t>：</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社会信用代码：</w:t>
            </w:r>
            <w:r>
              <w:rPr>
                <w:rFonts w:hint="eastAsia" w:ascii="宋体" w:hAnsi="宋体" w:eastAsia="宋体" w:cs="宋体"/>
                <w:color w:val="auto"/>
                <w:sz w:val="24"/>
                <w:szCs w:val="24"/>
              </w:rPr>
              <w:t>91451281MAA7A71J75</w:t>
            </w:r>
          </w:p>
        </w:tc>
        <w:tc>
          <w:tcPr>
            <w:tcW w:w="4528"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社会信用代码：</w:t>
            </w:r>
          </w:p>
        </w:tc>
      </w:tr>
      <w:tr>
        <w:tblPrEx>
          <w:tblCellMar>
            <w:top w:w="0" w:type="dxa"/>
            <w:left w:w="108" w:type="dxa"/>
            <w:bottom w:w="0" w:type="dxa"/>
            <w:right w:w="108" w:type="dxa"/>
          </w:tblCellMar>
        </w:tblPrEx>
        <w:trPr>
          <w:trHeight w:val="409" w:hRule="atLeast"/>
          <w:jc w:val="center"/>
        </w:trPr>
        <w:tc>
          <w:tcPr>
            <w:tcW w:w="9869" w:type="dxa"/>
            <w:gridSpan w:val="2"/>
            <w:vAlign w:val="center"/>
          </w:tcPr>
          <w:p>
            <w:pPr>
              <w:widowControl/>
              <w:ind w:firstLine="2400" w:firstLineChars="1000"/>
              <w:rPr>
                <w:rFonts w:ascii="宋体" w:hAnsi="宋体" w:cs="Arial"/>
                <w:color w:val="auto"/>
                <w:kern w:val="0"/>
                <w:sz w:val="24"/>
                <w:szCs w:val="24"/>
              </w:rPr>
            </w:pPr>
          </w:p>
          <w:p>
            <w:pPr>
              <w:widowControl/>
              <w:ind w:firstLine="3600" w:firstLineChars="1500"/>
              <w:rPr>
                <w:rFonts w:ascii="宋体" w:hAnsi="宋体" w:cs="Arial"/>
                <w:color w:val="auto"/>
                <w:kern w:val="0"/>
                <w:sz w:val="24"/>
                <w:szCs w:val="24"/>
              </w:rPr>
            </w:pPr>
            <w:r>
              <w:rPr>
                <w:rFonts w:hint="eastAsia" w:ascii="宋体" w:hAnsi="宋体" w:cs="Arial"/>
                <w:color w:val="auto"/>
                <w:kern w:val="0"/>
                <w:sz w:val="24"/>
                <w:szCs w:val="24"/>
              </w:rPr>
              <w:t>日期： 202</w:t>
            </w:r>
            <w:r>
              <w:rPr>
                <w:rFonts w:hint="eastAsia" w:ascii="宋体" w:hAnsi="宋体" w:cs="Arial"/>
                <w:color w:val="auto"/>
                <w:kern w:val="0"/>
                <w:sz w:val="24"/>
                <w:szCs w:val="24"/>
                <w:lang w:val="en-US" w:eastAsia="zh-CN"/>
              </w:rPr>
              <w:t>2</w:t>
            </w:r>
            <w:r>
              <w:rPr>
                <w:rFonts w:hint="eastAsia" w:ascii="宋体" w:hAnsi="宋体" w:cs="Arial"/>
                <w:color w:val="auto"/>
                <w:kern w:val="0"/>
                <w:sz w:val="24"/>
                <w:szCs w:val="24"/>
              </w:rPr>
              <w:t xml:space="preserve"> 年 </w:t>
            </w:r>
            <w:r>
              <w:rPr>
                <w:rFonts w:hint="eastAsia" w:ascii="宋体" w:hAnsi="宋体" w:cs="Arial"/>
                <w:color w:val="auto"/>
                <w:kern w:val="0"/>
                <w:sz w:val="24"/>
                <w:szCs w:val="24"/>
                <w:lang w:val="en-US" w:eastAsia="zh-CN"/>
              </w:rPr>
              <w:t xml:space="preserve"> </w:t>
            </w:r>
            <w:r>
              <w:rPr>
                <w:rFonts w:hint="eastAsia" w:ascii="宋体" w:hAnsi="宋体" w:cs="Arial"/>
                <w:color w:val="auto"/>
                <w:kern w:val="0"/>
                <w:sz w:val="24"/>
                <w:szCs w:val="24"/>
              </w:rPr>
              <w:t xml:space="preserve">  月    日</w:t>
            </w:r>
          </w:p>
        </w:tc>
      </w:tr>
    </w:tbl>
    <w:p>
      <w:pPr>
        <w:spacing w:line="520" w:lineRule="exact"/>
        <w:rPr>
          <w:rFonts w:ascii="宋体" w:hAnsi="宋体" w:eastAsia="宋体" w:cs="Times New Roman"/>
          <w:color w:val="auto"/>
          <w:sz w:val="28"/>
          <w:szCs w:val="28"/>
        </w:rPr>
      </w:pPr>
      <w:r>
        <w:rPr>
          <w:rFonts w:hint="eastAsia" w:ascii="宋体" w:hAnsi="宋体" w:eastAsia="宋体" w:cs="Times New Roman"/>
          <w:color w:val="auto"/>
          <w:sz w:val="28"/>
          <w:szCs w:val="28"/>
        </w:rPr>
        <w:t>----------------------</w:t>
      </w:r>
      <w:r>
        <w:rPr>
          <w:rFonts w:hint="eastAsia" w:ascii="宋体" w:hAnsi="宋体" w:cs="宋体"/>
          <w:bCs/>
          <w:color w:val="auto"/>
          <w:sz w:val="28"/>
          <w:szCs w:val="28"/>
        </w:rPr>
        <w:t>（本页为签章页）</w:t>
      </w:r>
      <w:r>
        <w:rPr>
          <w:rFonts w:hint="eastAsia" w:ascii="宋体" w:hAnsi="宋体" w:eastAsia="宋体" w:cs="Times New Roman"/>
          <w:color w:val="auto"/>
          <w:sz w:val="28"/>
          <w:szCs w:val="28"/>
        </w:rPr>
        <w:t>---------------------</w:t>
      </w:r>
    </w:p>
    <w:p>
      <w:pPr>
        <w:spacing w:line="360" w:lineRule="exact"/>
        <w:jc w:val="both"/>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br w:type="page"/>
      </w:r>
    </w:p>
    <w:p>
      <w:pPr>
        <w:spacing w:line="360" w:lineRule="exact"/>
        <w:ind w:firstLine="643" w:firstLineChars="200"/>
        <w:jc w:val="cente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第二部分  通用条件</w:t>
      </w:r>
    </w:p>
    <w:p>
      <w:pPr>
        <w:spacing w:line="360" w:lineRule="exact"/>
        <w:ind w:firstLine="643" w:firstLineChars="200"/>
        <w:rPr>
          <w:rFonts w:asciiTheme="minorEastAsia" w:hAnsiTheme="minorEastAsia" w:eastAsiaTheme="minorEastAsia" w:cstheme="minorEastAsia"/>
          <w:b/>
          <w:color w:val="auto"/>
          <w:sz w:val="32"/>
          <w:szCs w:val="32"/>
        </w:rPr>
      </w:pPr>
    </w:p>
    <w:p>
      <w:pPr>
        <w:spacing w:line="360" w:lineRule="exact"/>
        <w:ind w:firstLine="643" w:firstLineChars="200"/>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采用住房城乡建设部、工商总局制定的《建设工程造价咨询合同（示范文本）》（GF-2015-0212）。</w:t>
      </w:r>
    </w:p>
    <w:p>
      <w:pPr>
        <w:spacing w:line="360" w:lineRule="exact"/>
        <w:ind w:firstLine="643" w:firstLineChars="200"/>
        <w:jc w:val="center"/>
        <w:rPr>
          <w:rFonts w:asciiTheme="minorEastAsia" w:hAnsiTheme="minorEastAsia" w:eastAsiaTheme="minorEastAsia" w:cstheme="minorEastAsia"/>
          <w:b/>
          <w:color w:val="auto"/>
          <w:sz w:val="32"/>
          <w:szCs w:val="32"/>
        </w:rPr>
      </w:pPr>
    </w:p>
    <w:p>
      <w:pPr>
        <w:pStyle w:val="5"/>
        <w:rPr>
          <w:color w:val="auto"/>
        </w:rPr>
      </w:pPr>
    </w:p>
    <w:p>
      <w:pPr>
        <w:spacing w:line="360" w:lineRule="exact"/>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br w:type="page"/>
      </w:r>
    </w:p>
    <w:p>
      <w:pPr>
        <w:spacing w:line="360" w:lineRule="exact"/>
        <w:ind w:firstLine="643" w:firstLineChars="200"/>
        <w:jc w:val="center"/>
        <w:rPr>
          <w:color w:val="auto"/>
        </w:rPr>
      </w:pPr>
      <w:r>
        <w:rPr>
          <w:rFonts w:hint="eastAsia" w:asciiTheme="minorEastAsia" w:hAnsiTheme="minorEastAsia" w:eastAsiaTheme="minorEastAsia" w:cstheme="minorEastAsia"/>
          <w:b/>
          <w:color w:val="auto"/>
          <w:sz w:val="32"/>
          <w:szCs w:val="32"/>
        </w:rPr>
        <w:t>第三部分  专用条件</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1.词语定义、语言、解释顺序与适用法律</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1.2语言</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本合同文件使用中文。</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1.3合同文件的优先顺序</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本合同文件的解释顺序为：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 xml:space="preserve">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1.4适用法律</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本合同适用的其他规范性文件包括:</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u w:val="single"/>
        </w:rPr>
        <w:t>国家和广西制定的有关工程建设法律、法规等文件</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u w:val="single"/>
        </w:rPr>
        <w:t>现行预算定额及费用计价规定</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u w:val="single"/>
        </w:rPr>
        <w:t>《政府投资项目审计规定》</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（4）</w:t>
      </w:r>
      <w:r>
        <w:rPr>
          <w:rFonts w:hint="eastAsia" w:ascii="仿宋" w:hAnsi="仿宋" w:eastAsia="仿宋" w:cs="仿宋"/>
          <w:color w:val="auto"/>
          <w:sz w:val="30"/>
          <w:szCs w:val="30"/>
          <w:u w:val="single"/>
        </w:rPr>
        <w:t>《广西壮族自治区政府投资建设项目审计办法》</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（5）</w:t>
      </w:r>
      <w:r>
        <w:rPr>
          <w:rFonts w:hint="eastAsia" w:ascii="仿宋" w:hAnsi="仿宋" w:eastAsia="仿宋" w:cs="仿宋"/>
          <w:color w:val="auto"/>
          <w:sz w:val="30"/>
          <w:szCs w:val="30"/>
          <w:u w:val="single"/>
        </w:rPr>
        <w:t>《工程造价咨询单位执业行为准则》</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（6）</w:t>
      </w:r>
      <w:r>
        <w:rPr>
          <w:rFonts w:hint="eastAsia" w:ascii="仿宋" w:hAnsi="仿宋" w:eastAsia="仿宋" w:cs="仿宋"/>
          <w:color w:val="auto"/>
          <w:sz w:val="30"/>
          <w:szCs w:val="30"/>
          <w:u w:val="single"/>
        </w:rPr>
        <w:t>《造价工程师职业道德行为准则》</w:t>
      </w:r>
      <w:r>
        <w:rPr>
          <w:rFonts w:hint="eastAsia" w:ascii="仿宋" w:hAnsi="仿宋" w:eastAsia="仿宋" w:cs="仿宋"/>
          <w:color w:val="auto"/>
          <w:sz w:val="30"/>
          <w:szCs w:val="30"/>
        </w:rPr>
        <w:t>。</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2.委托人的义务</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2.1提供资料</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委托人提供与本合同咨询业务有关的资料包括：</w:t>
      </w:r>
      <w:r>
        <w:rPr>
          <w:rFonts w:hint="eastAsia" w:ascii="仿宋" w:hAnsi="仿宋" w:eastAsia="仿宋" w:cs="仿宋"/>
          <w:color w:val="auto"/>
          <w:sz w:val="30"/>
          <w:szCs w:val="30"/>
          <w:u w:val="single"/>
        </w:rPr>
        <w:t xml:space="preserve">  经业主审查认可的</w:t>
      </w:r>
      <w:r>
        <w:rPr>
          <w:rFonts w:hint="eastAsia" w:ascii="仿宋" w:hAnsi="仿宋" w:eastAsia="仿宋" w:cs="仿宋"/>
          <w:color w:val="auto"/>
          <w:sz w:val="30"/>
          <w:szCs w:val="30"/>
          <w:u w:val="single"/>
          <w:lang w:eastAsia="zh-CN"/>
        </w:rPr>
        <w:t>初步设计图纸</w:t>
      </w:r>
      <w:r>
        <w:rPr>
          <w:rFonts w:hint="eastAsia" w:ascii="仿宋" w:hAnsi="仿宋" w:eastAsia="仿宋" w:cs="仿宋"/>
          <w:color w:val="auto"/>
          <w:sz w:val="30"/>
          <w:szCs w:val="30"/>
          <w:u w:val="single"/>
        </w:rPr>
        <w:t xml:space="preserve">等相关资料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2.2提供工作条件</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2.2.1项目咨询人员使用由委托人提供的房屋及设备，支付使用费的标准为：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2.3答复</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委托人同意</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日内，对咨询人书面提交并要求做出决定的事宜给予书面答复。逾期未答复的，视为委托人认可。</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3.咨询人的义务</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3.1项目咨询团队及人员</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3.1.1项目咨询团队人员的数量不少于 </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人。咨询人在合同签订后</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个工作日内提供项目咨询团队人员名单及联系方式。</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本工程服务的造价技术人员不少于</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人，其中：</w:t>
      </w:r>
    </w:p>
    <w:p>
      <w:pPr>
        <w:spacing w:line="360" w:lineRule="auto"/>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①项目负责人应具有住房和城乡建设部颁发的一级注册造价</w:t>
      </w:r>
      <w:r>
        <w:rPr>
          <w:rFonts w:hint="eastAsia" w:ascii="仿宋" w:hAnsi="仿宋" w:eastAsia="仿宋" w:cs="仿宋"/>
          <w:color w:val="auto"/>
          <w:sz w:val="30"/>
          <w:szCs w:val="30"/>
          <w:lang w:eastAsia="zh-CN"/>
        </w:rPr>
        <w:t>工程</w:t>
      </w:r>
      <w:r>
        <w:rPr>
          <w:rFonts w:hint="eastAsia" w:ascii="仿宋" w:hAnsi="仿宋" w:eastAsia="仿宋" w:cs="仿宋"/>
          <w:color w:val="auto"/>
          <w:sz w:val="30"/>
          <w:szCs w:val="30"/>
        </w:rPr>
        <w:t>师证书并具有高级或高级以上技术职称</w:t>
      </w:r>
      <w:r>
        <w:rPr>
          <w:rFonts w:hint="eastAsia" w:ascii="仿宋" w:hAnsi="仿宋" w:eastAsia="仿宋" w:cs="仿宋"/>
          <w:color w:val="auto"/>
          <w:sz w:val="30"/>
          <w:szCs w:val="30"/>
          <w:lang w:eastAsia="zh-CN"/>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②项目组其他</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名造价技术人员中,造价专业</w:t>
      </w:r>
      <w:r>
        <w:rPr>
          <w:rFonts w:hint="eastAsia" w:ascii="仿宋" w:hAnsi="仿宋" w:eastAsia="仿宋" w:cs="仿宋"/>
          <w:color w:val="auto"/>
          <w:sz w:val="30"/>
          <w:szCs w:val="30"/>
          <w:lang w:eastAsia="zh-CN"/>
        </w:rPr>
        <w:t>应</w:t>
      </w:r>
      <w:r>
        <w:rPr>
          <w:rFonts w:hint="eastAsia" w:ascii="仿宋" w:hAnsi="仿宋" w:eastAsia="仿宋" w:cs="仿宋"/>
          <w:color w:val="auto"/>
          <w:sz w:val="30"/>
          <w:szCs w:val="30"/>
        </w:rPr>
        <w:t>为</w:t>
      </w:r>
      <w:r>
        <w:rPr>
          <w:rFonts w:hint="eastAsia" w:ascii="仿宋" w:hAnsi="仿宋" w:eastAsia="仿宋" w:cs="仿宋"/>
          <w:color w:val="auto"/>
          <w:sz w:val="30"/>
          <w:szCs w:val="30"/>
          <w:lang w:eastAsia="zh-CN"/>
        </w:rPr>
        <w:t>土建</w:t>
      </w:r>
      <w:r>
        <w:rPr>
          <w:rFonts w:hint="eastAsia" w:ascii="仿宋" w:hAnsi="仿宋" w:eastAsia="仿宋" w:cs="仿宋"/>
          <w:color w:val="auto"/>
          <w:sz w:val="30"/>
          <w:szCs w:val="30"/>
        </w:rPr>
        <w:t>专业</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人</w:t>
      </w:r>
      <w:r>
        <w:rPr>
          <w:rFonts w:hint="eastAsia" w:ascii="仿宋" w:hAnsi="仿宋" w:eastAsia="仿宋" w:cs="仿宋"/>
          <w:color w:val="auto"/>
          <w:sz w:val="30"/>
          <w:szCs w:val="30"/>
          <w:lang w:eastAsia="zh-CN"/>
        </w:rPr>
        <w:t>，安装专业</w:t>
      </w:r>
      <w:r>
        <w:rPr>
          <w:rFonts w:hint="eastAsia" w:ascii="仿宋" w:hAnsi="仿宋" w:eastAsia="仿宋" w:cs="仿宋"/>
          <w:color w:val="auto"/>
          <w:sz w:val="30"/>
          <w:szCs w:val="30"/>
          <w:lang w:val="en-US" w:eastAsia="zh-CN"/>
        </w:rPr>
        <w:t>1人</w:t>
      </w:r>
      <w:r>
        <w:rPr>
          <w:rFonts w:hint="eastAsia" w:ascii="仿宋" w:hAnsi="仿宋" w:eastAsia="仿宋" w:cs="仿宋"/>
          <w:color w:val="auto"/>
          <w:sz w:val="30"/>
          <w:szCs w:val="30"/>
        </w:rPr>
        <w:t>。项目组其他</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名造价技术人员中至少有1人为住房和城乡建设部颁发的造价工程师。。</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3.1.2</w:t>
      </w:r>
      <w:r>
        <w:rPr>
          <w:rFonts w:hint="eastAsia" w:ascii="仿宋" w:hAnsi="仿宋" w:eastAsia="仿宋" w:cs="仿宋"/>
          <w:color w:val="auto"/>
          <w:sz w:val="30"/>
          <w:szCs w:val="30"/>
          <w:highlight w:val="none"/>
        </w:rPr>
        <w:t>项目负责人为：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rPr>
        <w:t>，项目负责人为履行本合同的权限为:</w:t>
      </w:r>
      <w:r>
        <w:rPr>
          <w:rFonts w:hint="eastAsia" w:ascii="仿宋" w:hAnsi="仿宋" w:eastAsia="仿宋" w:cs="仿宋"/>
          <w:color w:val="auto"/>
          <w:sz w:val="30"/>
          <w:szCs w:val="30"/>
          <w:u w:val="single"/>
        </w:rPr>
        <w:t xml:space="preserve"> 递交造价咨询成果文件，负责本工程造价咨询相关问题的核对、协调</w:t>
      </w:r>
      <w:r>
        <w:rPr>
          <w:rFonts w:hint="eastAsia" w:ascii="仿宋" w:hAnsi="仿宋" w:eastAsia="仿宋" w:cs="仿宋"/>
          <w:color w:val="auto"/>
          <w:sz w:val="30"/>
          <w:szCs w:val="30"/>
        </w:rPr>
        <w:t>。</w:t>
      </w:r>
    </w:p>
    <w:p>
      <w:pPr>
        <w:pStyle w:val="5"/>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rPr>
        <w:t xml:space="preserve">3.1.3  </w:t>
      </w:r>
      <w:r>
        <w:rPr>
          <w:rFonts w:hint="eastAsia" w:ascii="仿宋" w:hAnsi="仿宋" w:eastAsia="仿宋" w:cs="仿宋"/>
          <w:color w:val="auto"/>
          <w:sz w:val="30"/>
          <w:szCs w:val="30"/>
          <w:highlight w:val="none"/>
        </w:rPr>
        <w:t>项目组其他成员：</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none"/>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3.1.4咨询人更换项目咨询团队其他咨询人员的约定：</w:t>
      </w:r>
      <w:r>
        <w:rPr>
          <w:rFonts w:hint="eastAsia" w:ascii="仿宋" w:hAnsi="仿宋" w:eastAsia="仿宋" w:cs="仿宋"/>
          <w:color w:val="auto"/>
          <w:sz w:val="30"/>
          <w:szCs w:val="30"/>
          <w:u w:val="single"/>
        </w:rPr>
        <w:t>非经委托人同意，咨询人不得擅自更换项目咨询团队其他咨询人员</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3.1.5委托人要求更换咨询人员的情形还包括：</w:t>
      </w:r>
      <w:r>
        <w:rPr>
          <w:rFonts w:hint="eastAsia" w:ascii="仿宋" w:hAnsi="仿宋" w:eastAsia="仿宋" w:cs="仿宋"/>
          <w:color w:val="auto"/>
          <w:sz w:val="30"/>
          <w:szCs w:val="30"/>
          <w:u w:val="single"/>
        </w:rPr>
        <w:t>当委托人认定咨询专业人员不按咨询合同履行其职责，或与第三人串通给委托人造成经济损失的，委托人有权要求更换咨询专业人员，咨询人不予更换的，构成违约。</w:t>
      </w:r>
    </w:p>
    <w:p>
      <w:pPr>
        <w:spacing w:line="360" w:lineRule="auto"/>
        <w:ind w:firstLine="600" w:firstLineChars="200"/>
        <w:outlineLvl w:val="0"/>
        <w:rPr>
          <w:rFonts w:ascii="仿宋" w:hAnsi="仿宋" w:eastAsia="仿宋" w:cs="仿宋"/>
          <w:color w:val="auto"/>
          <w:sz w:val="30"/>
          <w:szCs w:val="30"/>
          <w:u w:val="single"/>
        </w:rPr>
      </w:pPr>
      <w:r>
        <w:rPr>
          <w:rFonts w:hint="eastAsia" w:ascii="仿宋" w:hAnsi="仿宋" w:eastAsia="仿宋" w:cs="仿宋"/>
          <w:color w:val="auto"/>
          <w:sz w:val="30"/>
          <w:szCs w:val="30"/>
        </w:rPr>
        <w:t>3.2咨询人的工作要求</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3.2.1咨询人向委托人提供有关资料的时间：</w:t>
      </w:r>
      <w:r>
        <w:rPr>
          <w:rFonts w:hint="eastAsia" w:ascii="仿宋" w:hAnsi="仿宋" w:eastAsia="仿宋" w:cs="仿宋"/>
          <w:color w:val="auto"/>
          <w:sz w:val="30"/>
          <w:szCs w:val="30"/>
          <w:u w:val="single"/>
        </w:rPr>
        <w:t>签订合同之日起</w:t>
      </w:r>
      <w:r>
        <w:rPr>
          <w:rFonts w:hint="eastAsia" w:ascii="仿宋" w:hAnsi="仿宋" w:eastAsia="仿宋" w:cs="仿宋"/>
          <w:color w:val="auto"/>
          <w:sz w:val="30"/>
          <w:szCs w:val="30"/>
          <w:u w:val="single"/>
          <w:lang w:val="en-US" w:eastAsia="zh-CN"/>
        </w:rPr>
        <w:t>两</w:t>
      </w:r>
      <w:r>
        <w:rPr>
          <w:rFonts w:hint="eastAsia" w:ascii="仿宋" w:hAnsi="仿宋" w:eastAsia="仿宋" w:cs="仿宋"/>
          <w:color w:val="auto"/>
          <w:sz w:val="30"/>
          <w:szCs w:val="30"/>
          <w:u w:val="single"/>
        </w:rPr>
        <w:t>日内</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咨询人向委托人提供的资料还包括：</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3.2.2咨询人向委托人提供咨询成果文件的名称、组成、时间、份数及质量标准：按合同时间要求向委托人出具审核报告一式6份及电子档1份。</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3.2.3咨询人应在收到委托人以书面形式提出的建议或者异议后</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2</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日内给予书面答复。</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3.2.4委托人可根据项目实际情况，要求咨询人递交项目咨询的进度安排，咨询人应给予提供。</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3.3咨询人的工作依据</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经双方协商，本合同约定的造价咨询服务适用的技术标准、规范、定额等</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工作依据为：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3.4使用委托人房屋及设备的返还</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咨询人应在本合同终止后</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日内移交委托人提供的房屋及设备，移交的方式为：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4.违约责任</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4.1委托人的违约责任</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4.1.1委托人违约金的计算及支付方法：</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4.1.2委托人赔偿金额按下列方法确定并支付：</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4.1.3委托人逾期付款利息按下列方法计算并支付：</w:t>
      </w:r>
      <w:r>
        <w:rPr>
          <w:rFonts w:hint="eastAsia" w:ascii="仿宋" w:hAnsi="仿宋" w:eastAsia="仿宋" w:cs="仿宋"/>
          <w:color w:val="auto"/>
          <w:sz w:val="30"/>
          <w:szCs w:val="30"/>
          <w:u w:val="single"/>
        </w:rPr>
        <w:t xml:space="preserve"> 每逾期一天，按应付未付金额的4‰计算违约金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4.2咨询人的违约责任</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4.2.1咨询人违约金的计算及支付方法：</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（1）咨询人逾期提交成果文件的，每逾期一天，按合同总价的4‰计算违约金。超过规定时间 10个工作日以上的，委托人有权解除合同。</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咨询人擅自更换咨询专业人员的，委托人有权对咨询人处于3000元/人/次的违约金；咨询人拒绝更换3.1.4约定的咨询专业人员的，委托人有权解除合同，并有权不向咨询人支付酬金，不支付酬金的行为不构成违约。</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（4）因咨询人原因给委托人造成损失的，咨询人应承担损失赔偿责任。</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（5）如咨询人审核结论与</w:t>
      </w:r>
      <w:r>
        <w:rPr>
          <w:rFonts w:hint="eastAsia" w:ascii="仿宋" w:hAnsi="仿宋" w:eastAsia="仿宋" w:cs="仿宋"/>
          <w:color w:val="auto"/>
          <w:sz w:val="30"/>
          <w:szCs w:val="30"/>
          <w:lang w:eastAsia="zh-CN"/>
        </w:rPr>
        <w:t>财政部门</w:t>
      </w:r>
      <w:r>
        <w:rPr>
          <w:rFonts w:hint="eastAsia" w:ascii="仿宋" w:hAnsi="仿宋" w:eastAsia="仿宋" w:cs="仿宋"/>
          <w:color w:val="auto"/>
          <w:sz w:val="30"/>
          <w:szCs w:val="30"/>
        </w:rPr>
        <w:t>或有关部门复审的审定结论误差超过+</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%时，视为咨询人违约，咨询人须承担由此造成的全部经济损失和法律责任，委托人有权拒绝支付该项目剩余的服务费，已经支付的部分，咨询人应退回给委托人。</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咨询人不能将本合同项下的工作进行分包、转包，如发现咨询人有分包、转包现象，委托人有权解除本合同，咨询人按合同总价的30%向委托人支付违约金，由咨询人承担委托人另行委托其他服务机构所产生的费用。</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4.2.2因咨询人原因造成损失，咨询人赔偿金额按下列方法确定并支付：</w:t>
      </w:r>
      <w:r>
        <w:rPr>
          <w:rFonts w:hint="eastAsia" w:ascii="仿宋" w:hAnsi="仿宋" w:eastAsia="仿宋" w:cs="仿宋"/>
          <w:color w:val="auto"/>
          <w:sz w:val="30"/>
          <w:szCs w:val="30"/>
          <w:u w:val="single"/>
        </w:rPr>
        <w:t xml:space="preserve"> 赔偿金额为因咨询人原因造成损失的100% </w:t>
      </w:r>
      <w:r>
        <w:rPr>
          <w:rFonts w:hint="eastAsia" w:ascii="仿宋" w:hAnsi="仿宋" w:eastAsia="仿宋" w:cs="仿宋"/>
          <w:color w:val="auto"/>
          <w:sz w:val="30"/>
          <w:szCs w:val="30"/>
        </w:rPr>
        <w:t>。</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5.服务费的预算与支付方式</w:t>
      </w:r>
    </w:p>
    <w:p>
      <w:pPr>
        <w:spacing w:line="360" w:lineRule="auto"/>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 咨询费支付：</w:t>
      </w:r>
      <w:r>
        <w:rPr>
          <w:rFonts w:hint="eastAsia" w:ascii="仿宋" w:hAnsi="仿宋" w:eastAsia="仿宋" w:cs="仿宋"/>
          <w:color w:val="auto"/>
          <w:sz w:val="30"/>
          <w:szCs w:val="30"/>
          <w:lang w:eastAsia="zh-CN"/>
        </w:rPr>
        <w:t>招标控制价审核</w:t>
      </w:r>
      <w:r>
        <w:rPr>
          <w:rFonts w:hint="eastAsia" w:ascii="仿宋" w:hAnsi="仿宋" w:eastAsia="仿宋" w:cs="仿宋"/>
          <w:color w:val="auto"/>
          <w:sz w:val="30"/>
          <w:szCs w:val="30"/>
        </w:rPr>
        <w:t>完成，并通过主管部门审批同意后且经委托人认可后，</w:t>
      </w:r>
      <w:r>
        <w:rPr>
          <w:rFonts w:hint="eastAsia" w:ascii="仿宋" w:hAnsi="仿宋" w:eastAsia="仿宋" w:cs="仿宋"/>
          <w:color w:val="auto"/>
          <w:sz w:val="30"/>
          <w:szCs w:val="30"/>
          <w:lang w:eastAsia="zh-CN"/>
        </w:rPr>
        <w:t>一次性</w:t>
      </w:r>
      <w:r>
        <w:rPr>
          <w:rFonts w:hint="eastAsia" w:ascii="仿宋" w:hAnsi="仿宋" w:eastAsia="仿宋" w:cs="仿宋"/>
          <w:color w:val="auto"/>
          <w:sz w:val="30"/>
          <w:szCs w:val="30"/>
        </w:rPr>
        <w:t>支付合同总额的</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0%</w:t>
      </w:r>
      <w:r>
        <w:rPr>
          <w:rFonts w:hint="eastAsia" w:ascii="仿宋" w:hAnsi="仿宋" w:eastAsia="仿宋" w:cs="仿宋"/>
          <w:color w:val="auto"/>
          <w:sz w:val="30"/>
          <w:szCs w:val="30"/>
          <w:lang w:eastAsia="zh-CN"/>
        </w:rPr>
        <w:t xml:space="preserve">。款项支付前，乙方应按照甲方的要求提交提供建设项目资金支出审批表、请款函、合同协议书及有效等额增值税专用发票（注：小规模纳税人税率为3%，一般纳税人税率为6%），否则甲方有权拒绝支付。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2.合同履行期间，如成交供应商存在违法行为，在监督管理部门调查期间、被行政处罚期间，采购人可视情况终止合同。涉及到所承接项目的审核服务费，采购人可延期或拒绝支付服务费。</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3.所有费用由委托人转账至 咨询人账户。</w:t>
      </w:r>
    </w:p>
    <w:p>
      <w:pPr>
        <w:spacing w:line="360" w:lineRule="auto"/>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开户名称：</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开户银行： </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账    号：</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6.合同变更、解除与终止</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6.1合同变更</w:t>
      </w:r>
    </w:p>
    <w:p>
      <w:pPr>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6.1.2除不可抗力外，因非咨询人原因导致本合同履行期限延长、内容增加时，附加工作酬金按下列方法确定：</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6.2合同解除</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6.2.2双方约定解除合同的条件还包括：</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6.2.4因不可抗力导致的合同解除，双方约定损失的分担如下：</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7.争议解决</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7.2调解</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如果双方不能在</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日内解决本合同争议，可以将其提交</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进行调解。</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7.3仲裁或诉讼</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合同争议的最终解决方式为下列第</w:t>
      </w:r>
      <w:r>
        <w:rPr>
          <w:rFonts w:hint="eastAsia" w:ascii="仿宋" w:hAnsi="仿宋" w:eastAsia="仿宋" w:cs="仿宋"/>
          <w:color w:val="auto"/>
          <w:sz w:val="30"/>
          <w:szCs w:val="30"/>
          <w:u w:val="single"/>
        </w:rPr>
        <w:t xml:space="preserve">   （2）   </w:t>
      </w:r>
      <w:r>
        <w:rPr>
          <w:rFonts w:hint="eastAsia" w:ascii="仿宋" w:hAnsi="仿宋" w:eastAsia="仿宋" w:cs="仿宋"/>
          <w:color w:val="auto"/>
          <w:sz w:val="30"/>
          <w:szCs w:val="30"/>
        </w:rPr>
        <w:t>种方式：</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（1）提请 </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仲裁委员会进行仲裁。</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（2）向</w:t>
      </w:r>
      <w:r>
        <w:rPr>
          <w:rFonts w:hint="eastAsia" w:ascii="仿宋" w:hAnsi="仿宋" w:eastAsia="仿宋" w:cs="仿宋"/>
          <w:color w:val="auto"/>
          <w:sz w:val="30"/>
          <w:szCs w:val="30"/>
          <w:u w:val="single"/>
          <w:lang w:eastAsia="zh-CN"/>
        </w:rPr>
        <w:t>项目</w:t>
      </w:r>
      <w:r>
        <w:rPr>
          <w:rFonts w:hint="eastAsia" w:ascii="仿宋" w:hAnsi="仿宋" w:eastAsia="仿宋" w:cs="仿宋"/>
          <w:color w:val="auto"/>
          <w:sz w:val="30"/>
          <w:szCs w:val="30"/>
          <w:u w:val="single"/>
        </w:rPr>
        <w:t>所在地</w:t>
      </w:r>
      <w:r>
        <w:rPr>
          <w:rFonts w:hint="eastAsia" w:ascii="仿宋" w:hAnsi="仿宋" w:eastAsia="仿宋" w:cs="仿宋"/>
          <w:color w:val="auto"/>
          <w:sz w:val="30"/>
          <w:szCs w:val="30"/>
        </w:rPr>
        <w:t>人民法院提起诉讼。</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8.其他</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8.1 考察及相关费用：咨询人经委托人同意进行考察发生的费用由</w:t>
      </w:r>
      <w:r>
        <w:rPr>
          <w:rFonts w:hint="eastAsia" w:ascii="仿宋" w:hAnsi="仿宋" w:eastAsia="仿宋" w:cs="仿宋"/>
          <w:color w:val="auto"/>
          <w:sz w:val="30"/>
          <w:szCs w:val="30"/>
          <w:u w:val="single"/>
        </w:rPr>
        <w:t>咨询人</w:t>
      </w:r>
      <w:r>
        <w:rPr>
          <w:rFonts w:hint="eastAsia" w:ascii="仿宋" w:hAnsi="仿宋" w:eastAsia="仿宋" w:cs="仿宋"/>
          <w:color w:val="auto"/>
          <w:sz w:val="30"/>
          <w:szCs w:val="30"/>
        </w:rPr>
        <w:t>支付。差旅费及相关费用的支付：</w:t>
      </w:r>
      <w:bookmarkStart w:id="0" w:name="bookmark23"/>
      <w:bookmarkEnd w:id="0"/>
      <w:r>
        <w:rPr>
          <w:rFonts w:hint="eastAsia" w:ascii="仿宋" w:hAnsi="仿宋" w:eastAsia="仿宋" w:cs="仿宋"/>
          <w:color w:val="auto"/>
          <w:sz w:val="30"/>
          <w:szCs w:val="30"/>
          <w:u w:val="single"/>
        </w:rPr>
        <w:t>由咨询人承担</w:t>
      </w:r>
      <w:r>
        <w:rPr>
          <w:rFonts w:hint="eastAsia" w:ascii="仿宋" w:hAnsi="仿宋" w:eastAsia="仿宋" w:cs="仿宋"/>
          <w:color w:val="auto"/>
          <w:sz w:val="30"/>
          <w:szCs w:val="30"/>
        </w:rPr>
        <w:t>。</w:t>
      </w:r>
    </w:p>
    <w:p>
      <w:pPr>
        <w:pStyle w:val="2"/>
        <w:tabs>
          <w:tab w:val="left" w:pos="8039"/>
        </w:tabs>
        <w:kinsoku w:val="0"/>
        <w:overflowPunct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8.2</w:t>
      </w:r>
      <w:r>
        <w:rPr>
          <w:rFonts w:hint="eastAsia" w:ascii="仿宋" w:hAnsi="仿宋" w:eastAsia="仿宋" w:cs="仿宋"/>
          <w:color w:val="auto"/>
          <w:spacing w:val="-60"/>
          <w:sz w:val="30"/>
          <w:szCs w:val="30"/>
        </w:rPr>
        <w:t xml:space="preserve"> </w:t>
      </w:r>
      <w:r>
        <w:rPr>
          <w:rFonts w:hint="eastAsia" w:ascii="仿宋" w:hAnsi="仿宋" w:eastAsia="仿宋" w:cs="仿宋"/>
          <w:color w:val="auto"/>
          <w:sz w:val="30"/>
          <w:szCs w:val="30"/>
        </w:rPr>
        <w:t>联络</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8.2.1 任何一方与合同有关的通知、指示、要求、决定等，均应在 7日内送达对方指定的接收人和送达地点。</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8.2.2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委托人指定的送达接收人：</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。送达地点：</w:t>
      </w:r>
      <w:r>
        <w:rPr>
          <w:rFonts w:hint="eastAsia" w:ascii="仿宋" w:hAnsi="仿宋" w:eastAsia="仿宋" w:cs="仿宋"/>
          <w:color w:val="auto"/>
          <w:sz w:val="30"/>
          <w:szCs w:val="30"/>
          <w:u w:val="single"/>
          <w:lang w:eastAsia="zh-CN"/>
        </w:rPr>
        <w:t>河池市宜州区山谷路</w:t>
      </w:r>
      <w:r>
        <w:rPr>
          <w:rFonts w:hint="eastAsia" w:ascii="仿宋" w:hAnsi="仿宋" w:eastAsia="仿宋" w:cs="仿宋"/>
          <w:color w:val="auto"/>
          <w:sz w:val="30"/>
          <w:szCs w:val="30"/>
          <w:u w:val="single"/>
          <w:lang w:val="en-US" w:eastAsia="zh-CN"/>
        </w:rPr>
        <w:t>84号</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，电话：</w:t>
      </w:r>
      <w:r>
        <w:rPr>
          <w:rFonts w:hint="eastAsia" w:ascii="仿宋" w:hAnsi="仿宋" w:eastAsia="仿宋" w:cs="仿宋"/>
          <w:color w:val="auto"/>
          <w:sz w:val="30"/>
          <w:szCs w:val="30"/>
          <w:u w:val="single"/>
        </w:rPr>
        <w:t xml:space="preserve">0778-2283383 </w:t>
      </w:r>
      <w:r>
        <w:rPr>
          <w:rFonts w:hint="eastAsia" w:ascii="仿宋" w:hAnsi="仿宋" w:eastAsia="仿宋" w:cs="仿宋"/>
          <w:color w:val="auto"/>
          <w:sz w:val="30"/>
          <w:szCs w:val="30"/>
        </w:rPr>
        <w:t>电子邮箱：</w:t>
      </w:r>
      <w:r>
        <w:rPr>
          <w:rFonts w:hint="eastAsia" w:ascii="仿宋" w:hAnsi="仿宋" w:eastAsia="仿宋" w:cs="仿宋"/>
          <w:color w:val="auto"/>
          <w:sz w:val="30"/>
          <w:szCs w:val="30"/>
          <w:u w:val="single"/>
        </w:rPr>
        <w:t xml:space="preserve"> gcb2113008@163.com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咨询人指定的送达接收人：</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8.5知识产权</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委托人提供给咨询人的图纸、委托人为实施工程自行编制或委托编制的技术规范以及反映委托人要求的或其他类似性质文件的著作权属于</w:t>
      </w:r>
      <w:r>
        <w:rPr>
          <w:rFonts w:hint="eastAsia" w:ascii="仿宋" w:hAnsi="仿宋" w:eastAsia="仿宋" w:cs="仿宋"/>
          <w:color w:val="auto"/>
          <w:sz w:val="30"/>
          <w:szCs w:val="30"/>
          <w:u w:val="single"/>
        </w:rPr>
        <w:t>委托人</w:t>
      </w:r>
      <w:r>
        <w:rPr>
          <w:rFonts w:hint="eastAsia" w:ascii="仿宋" w:hAnsi="仿宋" w:eastAsia="仿宋" w:cs="仿宋"/>
          <w:color w:val="auto"/>
          <w:sz w:val="30"/>
          <w:szCs w:val="30"/>
        </w:rPr>
        <w:t xml:space="preserve">。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咨询人为履行本合同约定而编制的成果文件，其著作权属于</w:t>
      </w:r>
      <w:r>
        <w:rPr>
          <w:rFonts w:hint="eastAsia" w:ascii="仿宋" w:hAnsi="仿宋" w:eastAsia="仿宋" w:cs="仿宋"/>
          <w:color w:val="auto"/>
          <w:sz w:val="30"/>
          <w:szCs w:val="30"/>
          <w:u w:val="single"/>
        </w:rPr>
        <w:t xml:space="preserve"> 委托人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双方将履行本合同形成的有关成果文件用于企业宣传、申报奖项以及接受上级主管部门的检查须遵守以下约定：</w:t>
      </w:r>
      <w:r>
        <w:rPr>
          <w:rFonts w:hint="eastAsia" w:ascii="仿宋" w:hAnsi="仿宋" w:eastAsia="仿宋" w:cs="仿宋"/>
          <w:color w:val="auto"/>
          <w:sz w:val="30"/>
          <w:szCs w:val="30"/>
          <w:u w:val="single"/>
        </w:rPr>
        <w:t>咨询人将履行本合同形成的有关成果文件用于企业宣传、申报奖项以接受上级主管部门的检查应经过委托人同意</w:t>
      </w:r>
      <w:r>
        <w:rPr>
          <w:rFonts w:hint="eastAsia" w:ascii="仿宋" w:hAnsi="仿宋" w:eastAsia="仿宋" w:cs="仿宋"/>
          <w:color w:val="auto"/>
          <w:sz w:val="30"/>
          <w:szCs w:val="30"/>
        </w:rPr>
        <w:t>。</w:t>
      </w:r>
      <w:r>
        <w:rPr>
          <w:rFonts w:hint="eastAsia" w:ascii="仿宋" w:hAnsi="仿宋" w:eastAsia="仿宋" w:cs="仿宋"/>
          <w:color w:val="auto"/>
          <w:sz w:val="30"/>
          <w:szCs w:val="30"/>
        </w:rPr>
        <w:tab/>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9.补充条款</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 xml:space="preserve"> 。</w:t>
      </w:r>
    </w:p>
    <w:p>
      <w:pPr>
        <w:widowControl/>
        <w:jc w:val="center"/>
        <w:rPr>
          <w:rFonts w:ascii="仿宋" w:hAnsi="仿宋" w:eastAsia="仿宋"/>
          <w:b/>
          <w:color w:val="auto"/>
          <w:sz w:val="30"/>
          <w:szCs w:val="30"/>
        </w:rPr>
      </w:pPr>
    </w:p>
    <w:p>
      <w:pPr>
        <w:widowControl/>
        <w:jc w:val="center"/>
        <w:rPr>
          <w:rFonts w:ascii="仿宋" w:hAnsi="仿宋" w:eastAsia="仿宋"/>
          <w:b/>
          <w:color w:val="auto"/>
          <w:sz w:val="30"/>
          <w:szCs w:val="30"/>
        </w:rPr>
      </w:pPr>
    </w:p>
    <w:p>
      <w:pPr>
        <w:widowControl/>
        <w:jc w:val="center"/>
        <w:rPr>
          <w:rFonts w:ascii="仿宋" w:hAnsi="仿宋" w:eastAsia="仿宋"/>
          <w:b/>
          <w:color w:val="auto"/>
          <w:sz w:val="30"/>
          <w:szCs w:val="30"/>
        </w:rPr>
      </w:pPr>
    </w:p>
    <w:p>
      <w:pPr>
        <w:widowControl/>
        <w:jc w:val="center"/>
        <w:rPr>
          <w:rFonts w:ascii="仿宋" w:hAnsi="仿宋" w:eastAsia="仿宋"/>
          <w:b/>
          <w:color w:val="auto"/>
          <w:sz w:val="30"/>
          <w:szCs w:val="30"/>
        </w:rPr>
      </w:pPr>
    </w:p>
    <w:p>
      <w:pPr>
        <w:rPr>
          <w:color w:val="auto"/>
        </w:rPr>
      </w:pPr>
    </w:p>
    <w:p>
      <w:pPr>
        <w:pStyle w:val="5"/>
        <w:rPr>
          <w:rFonts w:hint="default" w:ascii="黑体" w:hAnsi="黑体" w:eastAsia="黑体" w:cs="黑体"/>
          <w:color w:val="auto"/>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auto"/>
          <w:spacing w:val="0"/>
          <w:sz w:val="32"/>
          <w:szCs w:val="32"/>
          <w:shd w:val="clear" w:fill="FFFFFF"/>
        </w:rPr>
      </w:pPr>
    </w:p>
    <w:sectPr>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wordWrap w:val="0"/>
      <w:jc w:val="right"/>
      <w:rPr>
        <w:color w:val="FF0000"/>
      </w:rPr>
    </w:pPr>
    <w:r>
      <w:rPr>
        <w:rFonts w:hint="eastAsia" w:ascii="Arial" w:hAnsi="Arial" w:cs="Arial"/>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4"/>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3944F5A"/>
    <w:rsid w:val="04407783"/>
    <w:rsid w:val="09183888"/>
    <w:rsid w:val="0CA96676"/>
    <w:rsid w:val="0D944181"/>
    <w:rsid w:val="10070D08"/>
    <w:rsid w:val="22F3650C"/>
    <w:rsid w:val="25004745"/>
    <w:rsid w:val="25657549"/>
    <w:rsid w:val="26B37D68"/>
    <w:rsid w:val="2BC5112A"/>
    <w:rsid w:val="2DA359FB"/>
    <w:rsid w:val="341A0E58"/>
    <w:rsid w:val="431A331F"/>
    <w:rsid w:val="53944F5A"/>
    <w:rsid w:val="616F7CA4"/>
    <w:rsid w:val="7CC24FAF"/>
    <w:rsid w:val="7DE4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numPr>
        <w:ilvl w:val="0"/>
        <w:numId w:val="1"/>
      </w:numPr>
      <w:spacing w:line="360" w:lineRule="auto"/>
      <w:outlineLvl w:val="1"/>
    </w:pPr>
    <w:rPr>
      <w:b/>
      <w:sz w:val="24"/>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6269</Words>
  <Characters>6768</Characters>
  <Lines>0</Lines>
  <Paragraphs>0</Paragraphs>
  <TotalTime>5</TotalTime>
  <ScaleCrop>false</ScaleCrop>
  <LinksUpToDate>false</LinksUpToDate>
  <CharactersWithSpaces>7290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河池市城投公司</cp:lastModifiedBy>
  <cp:lastPrinted>2022-05-06T01:35:00Z</cp:lastPrinted>
  <dcterms:modified xsi:type="dcterms:W3CDTF">2022-05-30T10:22:31Z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DCC64D30A80C413A87CA349E5F3DFDF4</vt:lpwstr>
  </property>
</Properties>
</file>