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eastAsia="仿宋_GB2312"/>
          <w:color w:val="auto"/>
          <w:highlight w:val="none"/>
          <w:lang w:val="en-US" w:eastAsia="zh-CN"/>
        </w:rPr>
      </w:pPr>
      <w:bookmarkStart w:id="1210" w:name="_GoBack"/>
      <w:bookmarkEnd w:id="1210"/>
    </w:p>
    <w:p>
      <w:pPr>
        <w:pStyle w:val="2"/>
        <w:rPr>
          <w:rFonts w:hint="default" w:ascii="仿宋_GB2312" w:eastAsia="仿宋_GB2312"/>
          <w:color w:val="auto"/>
          <w:highlight w:val="none"/>
          <w:lang w:val="en-US" w:eastAsia="zh-CN"/>
        </w:rPr>
      </w:pPr>
      <w:r>
        <w:rPr>
          <w:rFonts w:hint="eastAsia" w:ascii="仿宋_GB2312" w:eastAsia="仿宋_GB2312"/>
          <w:color w:val="auto"/>
          <w:highlight w:val="none"/>
          <w:lang w:val="en-US" w:eastAsia="zh-CN"/>
        </w:rPr>
        <w:t>附件3</w:t>
      </w:r>
    </w:p>
    <w:p>
      <w:pPr>
        <w:rPr>
          <w:rFonts w:hint="eastAsia" w:ascii="仿宋_GB2312" w:eastAsia="仿宋_GB2312"/>
          <w:color w:val="auto"/>
          <w:highlight w:val="none"/>
        </w:rPr>
      </w:pPr>
    </w:p>
    <w:p>
      <w:pPr>
        <w:pStyle w:val="2"/>
        <w:jc w:val="center"/>
        <w:rPr>
          <w:rFonts w:ascii="仿宋_GB2312" w:hAnsi="仿宋_GB2312" w:eastAsia="仿宋_GB2312" w:cs="仿宋_GB2312"/>
          <w:b/>
          <w:bCs/>
          <w:color w:val="000000"/>
          <w:sz w:val="44"/>
          <w:szCs w:val="44"/>
        </w:rPr>
      </w:pPr>
      <w:bookmarkStart w:id="0" w:name="_Toc6340"/>
      <w:bookmarkStart w:id="1" w:name="_Toc13844"/>
      <w:bookmarkStart w:id="2" w:name="_Toc19136"/>
      <w:bookmarkStart w:id="3" w:name="_Toc15308"/>
      <w:r>
        <w:rPr>
          <w:rFonts w:ascii="仿宋_GB2312" w:hAnsi="仿宋_GB2312" w:eastAsia="仿宋_GB2312" w:cs="仿宋_GB2312"/>
          <w:b/>
          <w:bCs/>
          <w:color w:val="000000"/>
          <w:sz w:val="44"/>
          <w:szCs w:val="44"/>
        </w:rPr>
        <w:t>河池市行政中心综合楼（宜州区）修缮工程</w:t>
      </w:r>
    </w:p>
    <w:p>
      <w:pPr>
        <w:pStyle w:val="2"/>
        <w:jc w:val="center"/>
        <w:rPr>
          <w:rFonts w:ascii="仿宋" w:hAnsi="仿宋" w:eastAsia="仿宋" w:cs="仿宋"/>
          <w:b/>
          <w:bCs/>
          <w:sz w:val="40"/>
          <w:szCs w:val="40"/>
        </w:rPr>
      </w:pPr>
      <w:r>
        <w:rPr>
          <w:rFonts w:ascii="仿宋_GB2312" w:hAnsi="仿宋_GB2312" w:eastAsia="仿宋_GB2312" w:cs="仿宋_GB2312"/>
          <w:b/>
          <w:bCs/>
          <w:color w:val="000000"/>
          <w:sz w:val="44"/>
          <w:szCs w:val="44"/>
        </w:rPr>
        <w:t>总承包（EPC)室外工程—林荫小道钢结构工程</w:t>
      </w:r>
    </w:p>
    <w:p>
      <w:pPr>
        <w:snapToGrid w:val="0"/>
        <w:jc w:val="center"/>
        <w:textAlignment w:val="baseline"/>
        <w:rPr>
          <w:rFonts w:ascii="仿宋" w:hAnsi="仿宋" w:eastAsia="仿宋" w:cs="仿宋"/>
          <w:b/>
          <w:bCs/>
          <w:sz w:val="40"/>
          <w:szCs w:val="40"/>
        </w:rPr>
      </w:pPr>
    </w:p>
    <w:p>
      <w:pPr>
        <w:snapToGrid w:val="0"/>
        <w:jc w:val="center"/>
        <w:textAlignment w:val="baseline"/>
        <w:rPr>
          <w:rFonts w:ascii="仿宋" w:hAnsi="仿宋" w:eastAsia="仿宋" w:cs="仿宋"/>
          <w:b/>
          <w:bCs/>
          <w:sz w:val="40"/>
          <w:szCs w:val="40"/>
        </w:rPr>
      </w:pPr>
    </w:p>
    <w:p>
      <w:pPr>
        <w:pStyle w:val="4"/>
        <w:rPr>
          <w:rFonts w:ascii="仿宋" w:hAnsi="仿宋" w:eastAsia="仿宋" w:cs="仿宋"/>
          <w:b/>
          <w:bCs/>
          <w:sz w:val="40"/>
          <w:szCs w:val="40"/>
        </w:rPr>
      </w:pPr>
    </w:p>
    <w:p>
      <w:pPr>
        <w:rPr>
          <w:rFonts w:ascii="仿宋" w:hAnsi="仿宋" w:eastAsia="仿宋" w:cs="仿宋"/>
          <w:b/>
          <w:bCs/>
          <w:sz w:val="40"/>
          <w:szCs w:val="40"/>
        </w:rPr>
      </w:pPr>
    </w:p>
    <w:p>
      <w:pPr>
        <w:pStyle w:val="4"/>
        <w:rPr>
          <w:rFonts w:ascii="仿宋" w:hAnsi="仿宋" w:eastAsia="仿宋" w:cs="仿宋"/>
          <w:b/>
          <w:bCs/>
          <w:sz w:val="40"/>
          <w:szCs w:val="40"/>
        </w:rPr>
      </w:pPr>
    </w:p>
    <w:p>
      <w:pPr>
        <w:rPr>
          <w:rFonts w:ascii="仿宋" w:hAnsi="仿宋" w:eastAsia="仿宋" w:cs="仿宋"/>
          <w:b/>
          <w:bCs/>
          <w:sz w:val="40"/>
          <w:szCs w:val="40"/>
        </w:rPr>
      </w:pPr>
    </w:p>
    <w:p>
      <w:pPr>
        <w:pStyle w:val="4"/>
        <w:rPr>
          <w:rFonts w:ascii="仿宋" w:hAnsi="仿宋" w:eastAsia="仿宋" w:cs="仿宋"/>
          <w:b/>
          <w:bCs/>
          <w:sz w:val="40"/>
          <w:szCs w:val="40"/>
        </w:rPr>
      </w:pPr>
    </w:p>
    <w:p>
      <w:pPr>
        <w:rPr>
          <w:rFonts w:ascii="仿宋" w:hAnsi="仿宋" w:eastAsia="仿宋" w:cs="仿宋"/>
          <w:b/>
          <w:bCs/>
          <w:sz w:val="40"/>
          <w:szCs w:val="40"/>
        </w:rPr>
      </w:pPr>
    </w:p>
    <w:p>
      <w:pPr>
        <w:pStyle w:val="4"/>
      </w:pPr>
    </w:p>
    <w:p>
      <w:pPr>
        <w:snapToGrid w:val="0"/>
        <w:jc w:val="center"/>
        <w:textAlignment w:val="baseline"/>
        <w:rPr>
          <w:rFonts w:ascii="仿宋" w:hAnsi="仿宋" w:eastAsia="仿宋" w:cs="仿宋"/>
          <w:b/>
          <w:bCs/>
          <w:sz w:val="40"/>
          <w:szCs w:val="40"/>
        </w:rPr>
      </w:pPr>
    </w:p>
    <w:p>
      <w:pPr>
        <w:snapToGrid w:val="0"/>
        <w:spacing w:line="360" w:lineRule="auto"/>
        <w:textAlignment w:val="baseline"/>
        <w:rPr>
          <w:rFonts w:ascii="仿宋" w:hAnsi="仿宋" w:eastAsia="仿宋" w:cs="仿宋"/>
          <w:sz w:val="28"/>
          <w:szCs w:val="28"/>
        </w:rPr>
      </w:pPr>
    </w:p>
    <w:p>
      <w:pPr>
        <w:snapToGrid w:val="0"/>
        <w:spacing w:line="360" w:lineRule="auto"/>
        <w:textAlignment w:val="baseline"/>
        <w:rPr>
          <w:rFonts w:ascii="仿宋" w:hAnsi="仿宋" w:eastAsia="仿宋" w:cs="仿宋"/>
          <w:sz w:val="32"/>
          <w:szCs w:val="32"/>
          <w:u w:val="single"/>
        </w:rPr>
      </w:pPr>
      <w:r>
        <w:rPr>
          <w:rFonts w:hint="eastAsia" w:ascii="仿宋" w:hAnsi="仿宋" w:eastAsia="仿宋" w:cs="仿宋"/>
          <w:sz w:val="32"/>
          <w:szCs w:val="32"/>
        </w:rPr>
        <w:t>发包人（甲方）：</w:t>
      </w:r>
      <w:r>
        <w:rPr>
          <w:rFonts w:hint="eastAsia" w:ascii="仿宋" w:hAnsi="仿宋" w:eastAsia="仿宋" w:cs="仿宋"/>
          <w:sz w:val="32"/>
          <w:szCs w:val="32"/>
          <w:u w:val="single" w:color="000000"/>
        </w:rPr>
        <w:t>河池市城市投资建设发展有限公司</w:t>
      </w:r>
    </w:p>
    <w:p>
      <w:pPr>
        <w:snapToGrid w:val="0"/>
        <w:spacing w:line="360" w:lineRule="auto"/>
        <w:textAlignment w:val="baseline"/>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承</w:t>
      </w:r>
      <w:r>
        <w:rPr>
          <w:rFonts w:hint="eastAsia" w:ascii="仿宋" w:hAnsi="仿宋" w:eastAsia="仿宋" w:cs="仿宋"/>
          <w:sz w:val="32"/>
          <w:szCs w:val="32"/>
        </w:rPr>
        <w:t>包人（</w:t>
      </w:r>
      <w:r>
        <w:rPr>
          <w:rFonts w:hint="eastAsia" w:ascii="仿宋" w:hAnsi="仿宋" w:eastAsia="仿宋" w:cs="仿宋"/>
          <w:sz w:val="32"/>
          <w:szCs w:val="32"/>
          <w:lang w:val="en-US" w:eastAsia="zh-CN"/>
        </w:rPr>
        <w:t>乙</w:t>
      </w:r>
      <w:r>
        <w:rPr>
          <w:rFonts w:hint="eastAsia" w:ascii="仿宋" w:hAnsi="仿宋" w:eastAsia="仿宋" w:cs="仿宋"/>
          <w:sz w:val="32"/>
          <w:szCs w:val="32"/>
        </w:rPr>
        <w:t>方）：</w:t>
      </w:r>
      <w:r>
        <w:rPr>
          <w:rFonts w:hint="eastAsia" w:ascii="仿宋" w:hAnsi="仿宋" w:eastAsia="仿宋" w:cs="仿宋"/>
          <w:sz w:val="32"/>
          <w:szCs w:val="32"/>
          <w:u w:val="single"/>
          <w:lang w:val="en-US" w:eastAsia="zh-CN"/>
        </w:rPr>
        <w:t xml:space="preserve">                              </w:t>
      </w:r>
    </w:p>
    <w:p>
      <w:pPr>
        <w:snapToGrid w:val="0"/>
        <w:spacing w:line="360" w:lineRule="auto"/>
        <w:jc w:val="center"/>
        <w:textAlignment w:val="baseline"/>
        <w:rPr>
          <w:rFonts w:ascii="仿宋" w:hAnsi="仿宋" w:eastAsia="仿宋" w:cs="仿宋"/>
          <w:sz w:val="30"/>
          <w:szCs w:val="30"/>
        </w:rPr>
      </w:pPr>
      <w:r>
        <w:rPr>
          <w:rFonts w:hint="eastAsia" w:ascii="仿宋" w:hAnsi="仿宋" w:eastAsia="仿宋" w:cs="仿宋"/>
          <w:sz w:val="30"/>
          <w:szCs w:val="30"/>
          <w:u w:val="single"/>
          <w:lang w:val="en-US" w:eastAsia="zh-CN"/>
        </w:rPr>
        <w:t>2021</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napToGrid w:val="0"/>
        <w:spacing w:line="360" w:lineRule="auto"/>
        <w:jc w:val="center"/>
        <w:textAlignment w:val="baseline"/>
        <w:rPr>
          <w:rFonts w:ascii="仿宋" w:hAnsi="仿宋" w:eastAsia="仿宋" w:cs="仿宋"/>
          <w:sz w:val="30"/>
          <w:szCs w:val="30"/>
        </w:rPr>
      </w:pPr>
    </w:p>
    <w:p>
      <w:pPr>
        <w:snapToGrid w:val="0"/>
        <w:spacing w:line="360" w:lineRule="auto"/>
        <w:jc w:val="center"/>
        <w:textAlignment w:val="baseline"/>
        <w:rPr>
          <w:rFonts w:ascii="仿宋" w:hAnsi="仿宋" w:eastAsia="仿宋" w:cs="仿宋"/>
          <w:sz w:val="30"/>
          <w:szCs w:val="30"/>
        </w:rPr>
      </w:pPr>
    </w:p>
    <w:p>
      <w:pPr>
        <w:jc w:val="both"/>
      </w:pPr>
    </w:p>
    <w:p>
      <w:pPr>
        <w:rPr>
          <w:rFonts w:ascii="Times New Roman" w:hAnsi="Times New Roman"/>
        </w:rPr>
      </w:pPr>
      <w:r>
        <w:rPr>
          <w:highlight w:val="white"/>
        </w:rPr>
        <w:br w:type="page"/>
      </w:r>
      <w:bookmarkStart w:id="4" w:name="_Toc4606"/>
      <w:bookmarkStart w:id="5" w:name="_Toc373478199"/>
      <w:bookmarkStart w:id="6" w:name="_Toc16910"/>
      <w:bookmarkStart w:id="7" w:name="_Toc389065255"/>
      <w:bookmarkStart w:id="8" w:name="_Toc296503025"/>
      <w:bookmarkStart w:id="9" w:name="_Toc351203480"/>
      <w:bookmarkStart w:id="10" w:name="_Toc373227552"/>
      <w:bookmarkStart w:id="11" w:name="_Toc296890982"/>
      <w:bookmarkStart w:id="12" w:name="_Toc508111529"/>
      <w:bookmarkStart w:id="13" w:name="EB959a0cec904a4675a610b8ff15efe337"/>
    </w:p>
    <w:p>
      <w:pPr>
        <w:pStyle w:val="42"/>
        <w:tabs>
          <w:tab w:val="left" w:pos="6480"/>
        </w:tabs>
        <w:spacing w:before="100" w:beforeAutospacing="1" w:after="0"/>
        <w:jc w:val="center"/>
        <w:rPr>
          <w:rFonts w:ascii="Times New Roman" w:hAnsi="Times New Roman"/>
        </w:rPr>
      </w:pPr>
      <w:r>
        <w:rPr>
          <w:rFonts w:ascii="Times New Roman" w:hAnsi="Times New Roman"/>
        </w:rPr>
        <w:t>第一部分 合同协议书</w:t>
      </w:r>
      <w:bookmarkEnd w:id="4"/>
      <w:bookmarkEnd w:id="5"/>
      <w:bookmarkEnd w:id="6"/>
      <w:bookmarkEnd w:id="7"/>
      <w:bookmarkEnd w:id="8"/>
      <w:bookmarkEnd w:id="9"/>
      <w:bookmarkEnd w:id="10"/>
      <w:bookmarkEnd w:id="11"/>
      <w:bookmarkEnd w:id="12"/>
    </w:p>
    <w:p>
      <w:pPr>
        <w:pStyle w:val="43"/>
        <w:spacing w:line="360" w:lineRule="auto"/>
        <w:rPr>
          <w:rFonts w:hint="eastAsia" w:ascii="宋体" w:hAnsi="宋体" w:eastAsia="宋体" w:cs="宋体"/>
          <w:b/>
          <w:sz w:val="24"/>
          <w:szCs w:val="24"/>
          <w:u w:val="single"/>
        </w:rPr>
      </w:pPr>
      <w:r>
        <w:rPr>
          <w:rFonts w:hint="eastAsia" w:ascii="宋体" w:hAnsi="宋体" w:eastAsia="宋体" w:cs="宋体"/>
          <w:b/>
          <w:sz w:val="24"/>
          <w:szCs w:val="24"/>
        </w:rPr>
        <w:t>发包人（全称）：</w:t>
      </w:r>
      <w:r>
        <w:rPr>
          <w:rFonts w:hint="eastAsia" w:ascii="宋体" w:hAnsi="宋体" w:eastAsia="宋体" w:cs="宋体"/>
          <w:b/>
          <w:sz w:val="24"/>
          <w:szCs w:val="24"/>
          <w:u w:val="single"/>
        </w:rPr>
        <w:t>河池市城市投资建设发展有限公司</w:t>
      </w:r>
    </w:p>
    <w:p>
      <w:pPr>
        <w:pStyle w:val="43"/>
        <w:spacing w:line="360" w:lineRule="auto"/>
        <w:rPr>
          <w:rFonts w:hint="default" w:ascii="宋体" w:hAnsi="宋体" w:eastAsia="宋体" w:cs="宋体"/>
          <w:b/>
          <w:sz w:val="24"/>
          <w:szCs w:val="24"/>
          <w:u w:val="single"/>
          <w:lang w:val="en-US" w:eastAsia="zh-CN"/>
        </w:rPr>
      </w:pPr>
      <w:r>
        <w:rPr>
          <w:rFonts w:hint="eastAsia" w:ascii="宋体" w:hAnsi="宋体" w:eastAsia="宋体" w:cs="宋体"/>
          <w:b/>
          <w:sz w:val="24"/>
          <w:szCs w:val="24"/>
        </w:rPr>
        <w:t>承包人（全称）：</w:t>
      </w:r>
      <w:r>
        <w:rPr>
          <w:rFonts w:hint="eastAsia" w:ascii="宋体" w:hAnsi="宋体" w:cs="宋体"/>
          <w:b/>
          <w:sz w:val="24"/>
          <w:szCs w:val="24"/>
          <w:u w:val="single"/>
          <w:lang w:val="en-US" w:eastAsia="zh-CN"/>
        </w:rPr>
        <w:t xml:space="preserve">                              </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根据《中华人民共和国民法典》、《中华人民共和国建筑法》及有关法律规定，遵循平等、自愿、公平和诚实信用的原则，双方就</w:t>
      </w:r>
      <w:r>
        <w:rPr>
          <w:rFonts w:hint="eastAsia" w:ascii="宋体" w:hAnsi="宋体" w:eastAsia="宋体" w:cs="宋体"/>
          <w:b/>
          <w:bCs/>
          <w:color w:val="000000"/>
          <w:sz w:val="24"/>
          <w:szCs w:val="24"/>
          <w:u w:val="single"/>
        </w:rPr>
        <w:t>河池市行政中心综合楼（宜州区）修缮工程总承包（EPC)室外工程—林荫小道钢结构工程</w:t>
      </w:r>
      <w:r>
        <w:rPr>
          <w:rFonts w:hint="eastAsia" w:ascii="宋体" w:hAnsi="宋体" w:eastAsia="宋体" w:cs="宋体"/>
          <w:sz w:val="24"/>
          <w:szCs w:val="24"/>
        </w:rPr>
        <w:t>及有关事项协商一致，共同达成如下协议：</w:t>
      </w:r>
    </w:p>
    <w:p>
      <w:pPr>
        <w:pStyle w:val="44"/>
        <w:spacing w:before="120" w:after="120"/>
        <w:rPr>
          <w:rFonts w:hint="eastAsia" w:ascii="宋体" w:hAnsi="宋体" w:eastAsia="宋体" w:cs="宋体"/>
          <w:bCs w:val="0"/>
          <w:sz w:val="24"/>
          <w:szCs w:val="24"/>
        </w:rPr>
      </w:pPr>
      <w:bookmarkStart w:id="14" w:name="_Toc351203481"/>
      <w:r>
        <w:rPr>
          <w:rFonts w:hint="eastAsia" w:ascii="宋体" w:hAnsi="宋体" w:eastAsia="宋体" w:cs="宋体"/>
          <w:bCs w:val="0"/>
          <w:sz w:val="24"/>
          <w:szCs w:val="24"/>
        </w:rPr>
        <w:t>一、工程概况</w:t>
      </w:r>
      <w:bookmarkEnd w:id="14"/>
    </w:p>
    <w:p>
      <w:pPr>
        <w:pStyle w:val="43"/>
        <w:spacing w:line="360" w:lineRule="auto"/>
        <w:ind w:firstLine="470" w:firstLineChars="196"/>
        <w:rPr>
          <w:rFonts w:hint="eastAsia" w:ascii="宋体" w:hAnsi="宋体" w:eastAsia="宋体" w:cs="宋体"/>
          <w:sz w:val="24"/>
          <w:szCs w:val="24"/>
          <w:u w:val="single"/>
        </w:rPr>
      </w:pPr>
      <w:r>
        <w:rPr>
          <w:rFonts w:hint="eastAsia" w:ascii="宋体" w:hAnsi="宋体" w:eastAsia="宋体" w:cs="宋体"/>
          <w:bCs/>
          <w:sz w:val="24"/>
          <w:szCs w:val="24"/>
        </w:rPr>
        <w:t>1.工程名称</w:t>
      </w:r>
      <w:r>
        <w:rPr>
          <w:rFonts w:hint="eastAsia" w:ascii="宋体" w:hAnsi="宋体" w:eastAsia="宋体" w:cs="宋体"/>
          <w:sz w:val="24"/>
          <w:szCs w:val="24"/>
        </w:rPr>
        <w:t>：</w:t>
      </w:r>
      <w:r>
        <w:rPr>
          <w:rFonts w:hint="eastAsia" w:ascii="宋体" w:hAnsi="宋体" w:eastAsia="宋体" w:cs="宋体"/>
          <w:b/>
          <w:bCs/>
          <w:color w:val="000000"/>
          <w:sz w:val="24"/>
          <w:szCs w:val="24"/>
          <w:u w:val="single"/>
        </w:rPr>
        <w:t>河池市行政中心综合楼（宜州区）修缮工程总承包（EPC)室外工程—林荫小道钢结构工程</w:t>
      </w:r>
      <w:r>
        <w:rPr>
          <w:rFonts w:hint="eastAsia" w:ascii="宋体" w:hAnsi="宋体" w:eastAsia="宋体" w:cs="宋体"/>
          <w:sz w:val="24"/>
          <w:szCs w:val="24"/>
        </w:rPr>
        <w:t>。</w:t>
      </w:r>
    </w:p>
    <w:p>
      <w:pPr>
        <w:pStyle w:val="43"/>
        <w:keepNext w:val="0"/>
        <w:keepLines w:val="0"/>
        <w:pageBreakBefore w:val="0"/>
        <w:widowControl w:val="0"/>
        <w:kinsoku/>
        <w:wordWrap/>
        <w:overflowPunct/>
        <w:topLinePunct w:val="0"/>
        <w:autoSpaceDE/>
        <w:autoSpaceDN/>
        <w:bidi w:val="0"/>
        <w:adjustRightInd/>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2.工程地点</w:t>
      </w:r>
      <w:r>
        <w:rPr>
          <w:rFonts w:hint="eastAsia" w:ascii="宋体" w:hAnsi="宋体" w:eastAsia="宋体" w:cs="宋体"/>
          <w:bCs/>
          <w:color w:val="auto"/>
          <w:sz w:val="24"/>
          <w:szCs w:val="24"/>
        </w:rPr>
        <w:t>：</w:t>
      </w:r>
      <w:r>
        <w:rPr>
          <w:rFonts w:hint="eastAsia" w:ascii="宋体" w:hAnsi="宋体" w:eastAsia="宋体" w:cs="宋体"/>
          <w:color w:val="auto"/>
          <w:sz w:val="24"/>
          <w:szCs w:val="24"/>
          <w:u w:val="single"/>
        </w:rPr>
        <w:t>河池市宜州区中山大道</w:t>
      </w:r>
      <w:r>
        <w:rPr>
          <w:rFonts w:hint="eastAsia" w:ascii="宋体" w:hAnsi="宋体" w:eastAsia="宋体" w:cs="宋体"/>
          <w:color w:val="auto"/>
          <w:sz w:val="24"/>
          <w:szCs w:val="24"/>
        </w:rPr>
        <w:t>。</w:t>
      </w:r>
    </w:p>
    <w:p>
      <w:pPr>
        <w:pStyle w:val="43"/>
        <w:keepNext w:val="0"/>
        <w:keepLines w:val="0"/>
        <w:pageBreakBefore w:val="0"/>
        <w:widowControl w:val="0"/>
        <w:kinsoku/>
        <w:wordWrap/>
        <w:overflowPunct/>
        <w:topLinePunct w:val="0"/>
        <w:autoSpaceDE/>
        <w:autoSpaceDN/>
        <w:bidi w:val="0"/>
        <w:adjustRightInd/>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3.工程立项批准文号：</w:t>
      </w:r>
      <w:r>
        <w:rPr>
          <w:rFonts w:hint="eastAsia" w:ascii="宋体" w:hAnsi="宋体" w:cs="宋体"/>
          <w:sz w:val="24"/>
          <w:szCs w:val="24"/>
          <w:u w:val="single"/>
          <w:lang w:val="en-US" w:eastAsia="zh-CN"/>
        </w:rPr>
        <w:t>/</w:t>
      </w:r>
      <w:r>
        <w:rPr>
          <w:rFonts w:hint="eastAsia" w:ascii="宋体" w:hAnsi="宋体" w:eastAsia="宋体" w:cs="宋体"/>
          <w:bCs/>
          <w:sz w:val="24"/>
          <w:szCs w:val="24"/>
        </w:rPr>
        <w:t>。</w:t>
      </w:r>
    </w:p>
    <w:p>
      <w:pPr>
        <w:pStyle w:val="43"/>
        <w:keepNext w:val="0"/>
        <w:keepLines w:val="0"/>
        <w:pageBreakBefore w:val="0"/>
        <w:widowControl w:val="0"/>
        <w:kinsoku/>
        <w:wordWrap/>
        <w:overflowPunct/>
        <w:topLinePunct w:val="0"/>
        <w:autoSpaceDE/>
        <w:autoSpaceDN/>
        <w:bidi w:val="0"/>
        <w:adjustRightInd/>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4.资金来源：</w:t>
      </w:r>
      <w:r>
        <w:rPr>
          <w:rFonts w:hint="eastAsia" w:ascii="宋体" w:hAnsi="宋体" w:cs="宋体"/>
          <w:sz w:val="24"/>
          <w:szCs w:val="24"/>
          <w:u w:val="single"/>
          <w:lang w:val="en-US" w:eastAsia="zh-CN"/>
        </w:rPr>
        <w:t>/</w:t>
      </w:r>
      <w:r>
        <w:rPr>
          <w:rFonts w:hint="eastAsia" w:ascii="宋体" w:hAnsi="宋体" w:eastAsia="宋体" w:cs="宋体"/>
          <w:sz w:val="24"/>
          <w:szCs w:val="24"/>
          <w:u w:val="single"/>
        </w:rPr>
        <w:t xml:space="preserve">  </w:t>
      </w:r>
      <w:r>
        <w:rPr>
          <w:rFonts w:hint="eastAsia" w:ascii="宋体" w:hAnsi="宋体" w:eastAsia="宋体" w:cs="宋体"/>
          <w:bCs/>
          <w:sz w:val="24"/>
          <w:szCs w:val="24"/>
        </w:rPr>
        <w:t>。</w:t>
      </w:r>
    </w:p>
    <w:p>
      <w:pPr>
        <w:pStyle w:val="45"/>
        <w:keepNext w:val="0"/>
        <w:keepLines w:val="0"/>
        <w:pageBreakBefore w:val="0"/>
        <w:widowControl w:val="0"/>
        <w:tabs>
          <w:tab w:val="left" w:pos="2020"/>
        </w:tabs>
        <w:kinsoku/>
        <w:wordWrap/>
        <w:overflowPunct/>
        <w:topLinePunct w:val="0"/>
        <w:autoSpaceDE/>
        <w:autoSpaceDN/>
        <w:bidi w:val="0"/>
        <w:adjustRightInd/>
        <w:snapToGrid w:val="0"/>
        <w:spacing w:line="360" w:lineRule="auto"/>
        <w:ind w:left="0" w:firstLine="480" w:firstLineChars="200"/>
        <w:textAlignment w:val="baseline"/>
        <w:rPr>
          <w:rFonts w:hint="eastAsia" w:ascii="宋体" w:hAnsi="宋体" w:eastAsia="宋体" w:cs="宋体"/>
          <w:bCs/>
          <w:sz w:val="24"/>
          <w:szCs w:val="24"/>
          <w:highlight w:val="yellow"/>
        </w:rPr>
      </w:pPr>
      <w:r>
        <w:rPr>
          <w:rFonts w:hint="eastAsia" w:ascii="宋体" w:hAnsi="宋体" w:eastAsia="宋体" w:cs="宋体"/>
          <w:bCs/>
          <w:sz w:val="24"/>
          <w:szCs w:val="24"/>
        </w:rPr>
        <w:t>5.工程内容：</w:t>
      </w:r>
      <w:r>
        <w:rPr>
          <w:rFonts w:hint="eastAsia" w:ascii="宋体" w:hAnsi="宋体" w:eastAsia="宋体" w:cs="宋体"/>
          <w:color w:val="000000"/>
          <w:sz w:val="24"/>
          <w:szCs w:val="24"/>
          <w:u w:val="single"/>
        </w:rPr>
        <w:t>钢结构雨棚、门禁、照明路灯</w:t>
      </w:r>
      <w:r>
        <w:rPr>
          <w:rFonts w:hint="eastAsia" w:cs="宋体"/>
          <w:color w:val="000000"/>
          <w:sz w:val="24"/>
          <w:szCs w:val="24"/>
          <w:u w:val="single"/>
          <w:lang w:eastAsia="zh-CN"/>
        </w:rPr>
        <w:t>的</w:t>
      </w:r>
      <w:r>
        <w:rPr>
          <w:rFonts w:hint="eastAsia" w:ascii="宋体" w:hAnsi="宋体" w:eastAsia="宋体" w:cs="宋体"/>
          <w:color w:val="000000"/>
          <w:sz w:val="24"/>
          <w:szCs w:val="24"/>
          <w:u w:val="single"/>
        </w:rPr>
        <w:t>安装、路面硬化</w:t>
      </w:r>
      <w:r>
        <w:rPr>
          <w:rFonts w:hint="eastAsia" w:cs="宋体"/>
          <w:color w:val="000000"/>
          <w:sz w:val="24"/>
          <w:szCs w:val="24"/>
          <w:u w:val="single"/>
          <w:lang w:val="en-US" w:eastAsia="zh-CN"/>
        </w:rPr>
        <w:t>等工程</w:t>
      </w:r>
      <w:r>
        <w:rPr>
          <w:rFonts w:hint="eastAsia" w:ascii="宋体" w:hAnsi="宋体" w:eastAsia="宋体" w:cs="宋体"/>
          <w:spacing w:val="-3"/>
          <w:sz w:val="24"/>
          <w:szCs w:val="24"/>
          <w:u w:val="single"/>
        </w:rPr>
        <w:t>；</w:t>
      </w:r>
      <w:r>
        <w:rPr>
          <w:rFonts w:hint="eastAsia" w:ascii="宋体" w:hAnsi="宋体" w:eastAsia="宋体" w:cs="宋体"/>
          <w:sz w:val="24"/>
          <w:szCs w:val="24"/>
          <w:highlight w:val="yellow"/>
        </w:rPr>
        <w:t>群体工程应附《承包人承揽工程项目一览表》（附件1）。</w:t>
      </w:r>
    </w:p>
    <w:p>
      <w:pPr>
        <w:pStyle w:val="43"/>
        <w:keepNext w:val="0"/>
        <w:keepLines w:val="0"/>
        <w:pageBreakBefore w:val="0"/>
        <w:widowControl w:val="0"/>
        <w:kinsoku/>
        <w:wordWrap/>
        <w:overflowPunct/>
        <w:topLinePunct w:val="0"/>
        <w:autoSpaceDE/>
        <w:autoSpaceDN/>
        <w:bidi w:val="0"/>
        <w:adjustRightInd/>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6.工程承包范围：</w:t>
      </w:r>
    </w:p>
    <w:p>
      <w:pPr>
        <w:pStyle w:val="43"/>
        <w:spacing w:line="360" w:lineRule="auto"/>
        <w:ind w:firstLine="465" w:firstLineChars="193"/>
        <w:rPr>
          <w:rFonts w:hint="eastAsia" w:ascii="宋体" w:hAnsi="宋体" w:eastAsia="宋体" w:cs="宋体"/>
          <w:sz w:val="24"/>
          <w:szCs w:val="24"/>
        </w:rPr>
      </w:pPr>
      <w:r>
        <w:rPr>
          <w:rFonts w:hint="eastAsia" w:ascii="宋体" w:hAnsi="宋体" w:eastAsia="宋体" w:cs="宋体"/>
          <w:b/>
          <w:bCs/>
          <w:color w:val="000000"/>
          <w:sz w:val="24"/>
          <w:szCs w:val="24"/>
          <w:u w:val="single"/>
        </w:rPr>
        <w:t>河池市行政中心综合楼（宜州区）修缮工程总承包（EPC)室外工程—林荫小道钢结构工程</w:t>
      </w:r>
      <w:r>
        <w:rPr>
          <w:rFonts w:hint="eastAsia" w:ascii="宋体" w:hAnsi="宋体" w:eastAsia="宋体" w:cs="宋体"/>
          <w:b/>
          <w:bCs/>
          <w:sz w:val="24"/>
          <w:szCs w:val="24"/>
          <w:highlight w:val="yellow"/>
          <w:u w:val="single"/>
        </w:rPr>
        <w:t>（详见工程量清单）</w:t>
      </w:r>
      <w:r>
        <w:rPr>
          <w:rFonts w:hint="eastAsia" w:ascii="宋体" w:hAnsi="宋体" w:eastAsia="宋体" w:cs="宋体"/>
          <w:sz w:val="24"/>
          <w:szCs w:val="24"/>
          <w:u w:val="none"/>
        </w:rPr>
        <w:t>。</w:t>
      </w:r>
    </w:p>
    <w:p>
      <w:pPr>
        <w:pStyle w:val="44"/>
        <w:spacing w:before="120" w:after="120"/>
        <w:rPr>
          <w:rFonts w:hint="eastAsia" w:ascii="宋体" w:hAnsi="宋体" w:eastAsia="宋体" w:cs="宋体"/>
          <w:b w:val="0"/>
          <w:sz w:val="24"/>
          <w:szCs w:val="24"/>
        </w:rPr>
      </w:pPr>
      <w:bookmarkStart w:id="15" w:name="_Toc351203482"/>
      <w:r>
        <w:rPr>
          <w:rFonts w:hint="eastAsia" w:ascii="宋体" w:hAnsi="宋体" w:eastAsia="宋体" w:cs="宋体"/>
          <w:bCs w:val="0"/>
          <w:sz w:val="24"/>
          <w:szCs w:val="24"/>
        </w:rPr>
        <w:t>二、合同工期</w:t>
      </w:r>
      <w:bookmarkEnd w:id="15"/>
    </w:p>
    <w:p>
      <w:pPr>
        <w:pStyle w:val="43"/>
        <w:spacing w:line="360" w:lineRule="auto"/>
        <w:ind w:firstLine="459"/>
        <w:rPr>
          <w:rFonts w:hint="eastAsia" w:ascii="宋体" w:hAnsi="宋体" w:eastAsia="宋体" w:cs="宋体"/>
          <w:sz w:val="24"/>
          <w:szCs w:val="24"/>
        </w:rPr>
      </w:pPr>
      <w:r>
        <w:rPr>
          <w:rFonts w:hint="eastAsia" w:ascii="宋体" w:hAnsi="宋体" w:eastAsia="宋体" w:cs="宋体"/>
          <w:sz w:val="24"/>
          <w:szCs w:val="24"/>
        </w:rPr>
        <w:t>计划开工日期：2021年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日。</w:t>
      </w:r>
    </w:p>
    <w:p>
      <w:pPr>
        <w:pStyle w:val="43"/>
        <w:spacing w:line="360" w:lineRule="auto"/>
        <w:ind w:firstLine="459"/>
        <w:rPr>
          <w:rFonts w:hint="eastAsia" w:ascii="宋体" w:hAnsi="宋体" w:eastAsia="宋体" w:cs="宋体"/>
          <w:sz w:val="24"/>
          <w:szCs w:val="24"/>
        </w:rPr>
      </w:pPr>
      <w:r>
        <w:rPr>
          <w:rFonts w:hint="eastAsia" w:ascii="宋体" w:hAnsi="宋体" w:eastAsia="宋体" w:cs="宋体"/>
          <w:sz w:val="24"/>
          <w:szCs w:val="24"/>
        </w:rPr>
        <w:t>计划竣工日期：2021年12月20日。</w:t>
      </w:r>
    </w:p>
    <w:p>
      <w:pPr>
        <w:pStyle w:val="43"/>
        <w:spacing w:line="360" w:lineRule="auto"/>
        <w:ind w:firstLine="459"/>
        <w:rPr>
          <w:rFonts w:hint="eastAsia" w:ascii="宋体" w:hAnsi="宋体" w:eastAsia="宋体" w:cs="宋体"/>
          <w:sz w:val="24"/>
          <w:szCs w:val="24"/>
        </w:rPr>
      </w:pPr>
      <w:r>
        <w:rPr>
          <w:rFonts w:hint="eastAsia" w:ascii="宋体" w:hAnsi="宋体" w:eastAsia="宋体" w:cs="宋体"/>
          <w:sz w:val="24"/>
          <w:szCs w:val="24"/>
        </w:rPr>
        <w:t>工期总日历天数：</w:t>
      </w:r>
      <w:r>
        <w:rPr>
          <w:rFonts w:hint="eastAsia" w:ascii="宋体" w:hAnsi="宋体" w:eastAsia="宋体" w:cs="宋体"/>
          <w:sz w:val="24"/>
          <w:szCs w:val="24"/>
          <w:u w:val="single"/>
        </w:rPr>
        <w:t>10</w:t>
      </w:r>
      <w:r>
        <w:rPr>
          <w:rFonts w:hint="eastAsia" w:ascii="宋体" w:hAnsi="宋体" w:eastAsia="宋体" w:cs="宋体"/>
          <w:sz w:val="24"/>
          <w:szCs w:val="24"/>
        </w:rPr>
        <w:t>天。工期总日历天数与根据前述计划开竣工日期计算的工期天数不一致的，以工期总日历天数为准。</w:t>
      </w:r>
    </w:p>
    <w:p>
      <w:pPr>
        <w:pStyle w:val="44"/>
        <w:spacing w:before="120" w:after="120"/>
        <w:rPr>
          <w:rFonts w:hint="eastAsia" w:ascii="宋体" w:hAnsi="宋体" w:eastAsia="宋体" w:cs="宋体"/>
          <w:bCs w:val="0"/>
          <w:sz w:val="24"/>
          <w:szCs w:val="24"/>
        </w:rPr>
      </w:pPr>
      <w:bookmarkStart w:id="16" w:name="_Toc351203483"/>
      <w:r>
        <w:rPr>
          <w:rFonts w:hint="eastAsia" w:ascii="宋体" w:hAnsi="宋体" w:eastAsia="宋体" w:cs="宋体"/>
          <w:bCs w:val="0"/>
          <w:sz w:val="24"/>
          <w:szCs w:val="24"/>
        </w:rPr>
        <w:t>三、质量标准</w:t>
      </w:r>
      <w:bookmarkEnd w:id="16"/>
    </w:p>
    <w:p>
      <w:pPr>
        <w:pStyle w:val="43"/>
        <w:spacing w:line="360" w:lineRule="auto"/>
        <w:ind w:firstLine="459"/>
        <w:rPr>
          <w:rFonts w:hint="eastAsia" w:ascii="宋体" w:hAnsi="宋体" w:eastAsia="宋体" w:cs="宋体"/>
          <w:sz w:val="24"/>
          <w:szCs w:val="24"/>
        </w:rPr>
      </w:pPr>
      <w:r>
        <w:rPr>
          <w:rFonts w:hint="eastAsia" w:ascii="宋体" w:hAnsi="宋体" w:eastAsia="宋体" w:cs="宋体"/>
          <w:sz w:val="24"/>
          <w:szCs w:val="24"/>
        </w:rPr>
        <w:t>工程质量符合：</w:t>
      </w:r>
      <w:r>
        <w:rPr>
          <w:rFonts w:hint="eastAsia" w:ascii="宋体" w:hAnsi="宋体" w:eastAsia="宋体" w:cs="宋体"/>
          <w:sz w:val="24"/>
          <w:szCs w:val="24"/>
          <w:u w:val="single"/>
        </w:rPr>
        <w:t>国家施工验收规范合格标准</w:t>
      </w:r>
      <w:r>
        <w:rPr>
          <w:rFonts w:hint="eastAsia" w:ascii="宋体" w:hAnsi="宋体" w:eastAsia="宋体" w:cs="宋体"/>
          <w:sz w:val="24"/>
          <w:szCs w:val="24"/>
          <w:u w:val="none"/>
        </w:rPr>
        <w:t>。</w:t>
      </w:r>
    </w:p>
    <w:p>
      <w:pPr>
        <w:pStyle w:val="44"/>
        <w:spacing w:before="120" w:after="120"/>
        <w:rPr>
          <w:rFonts w:hint="eastAsia" w:ascii="宋体" w:hAnsi="宋体" w:eastAsia="宋体" w:cs="宋体"/>
          <w:bCs w:val="0"/>
          <w:sz w:val="24"/>
          <w:szCs w:val="24"/>
        </w:rPr>
      </w:pPr>
      <w:bookmarkStart w:id="17" w:name="_Toc351203484"/>
      <w:r>
        <w:rPr>
          <w:rFonts w:hint="eastAsia" w:ascii="宋体" w:hAnsi="宋体" w:eastAsia="宋体" w:cs="宋体"/>
          <w:bCs w:val="0"/>
          <w:sz w:val="24"/>
          <w:szCs w:val="24"/>
        </w:rPr>
        <w:t>四、签约合同价与合同价格形式</w:t>
      </w:r>
      <w:bookmarkEnd w:id="17"/>
      <w:r>
        <w:rPr>
          <w:rFonts w:hint="eastAsia" w:ascii="宋体" w:hAnsi="宋体" w:eastAsia="宋体" w:cs="宋体"/>
          <w:b w:val="0"/>
          <w:sz w:val="24"/>
          <w:szCs w:val="24"/>
        </w:rPr>
        <w:tab/>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1.签约合同价为：人民币</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（大写）（¥</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其中：</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（1）安全文明施工费：人民币</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（大写）（¥</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（2）建安劳保费：人民币</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（大写）（¥</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（3）材料和工程设备暂估价金额：人民币（大写）</w:t>
      </w:r>
      <w:r>
        <w:rPr>
          <w:rFonts w:hint="eastAsia" w:ascii="宋体" w:hAnsi="宋体" w:eastAsia="宋体" w:cs="宋体"/>
          <w:sz w:val="24"/>
          <w:szCs w:val="24"/>
          <w:u w:val="single"/>
        </w:rPr>
        <w:t xml:space="preserve">    /      </w:t>
      </w:r>
      <w:r>
        <w:rPr>
          <w:rFonts w:hint="eastAsia" w:ascii="宋体" w:hAnsi="宋体" w:eastAsia="宋体" w:cs="宋体"/>
          <w:sz w:val="24"/>
          <w:szCs w:val="24"/>
        </w:rPr>
        <w:t>（¥</w:t>
      </w:r>
      <w:r>
        <w:rPr>
          <w:rFonts w:hint="eastAsia" w:ascii="宋体" w:hAnsi="宋体" w:eastAsia="宋体" w:cs="宋体"/>
          <w:sz w:val="24"/>
          <w:szCs w:val="24"/>
          <w:u w:val="single"/>
        </w:rPr>
        <w:t xml:space="preserve">      /    </w:t>
      </w:r>
      <w:r>
        <w:rPr>
          <w:rFonts w:hint="eastAsia" w:ascii="宋体" w:hAnsi="宋体" w:eastAsia="宋体" w:cs="宋体"/>
          <w:sz w:val="24"/>
          <w:szCs w:val="24"/>
        </w:rPr>
        <w:t>元）；</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（4）专业工程暂估价金额：人民币（大写）</w:t>
      </w:r>
      <w:r>
        <w:rPr>
          <w:rFonts w:hint="eastAsia" w:ascii="宋体" w:hAnsi="宋体" w:eastAsia="宋体" w:cs="宋体"/>
          <w:sz w:val="24"/>
          <w:szCs w:val="24"/>
          <w:u w:val="single"/>
        </w:rPr>
        <w:t xml:space="preserve">       /       </w:t>
      </w:r>
      <w:r>
        <w:rPr>
          <w:rFonts w:hint="eastAsia" w:ascii="宋体" w:hAnsi="宋体" w:eastAsia="宋体" w:cs="宋体"/>
          <w:sz w:val="24"/>
          <w:szCs w:val="24"/>
        </w:rPr>
        <w:t>（¥</w:t>
      </w:r>
      <w:r>
        <w:rPr>
          <w:rFonts w:hint="eastAsia" w:ascii="宋体" w:hAnsi="宋体" w:eastAsia="宋体" w:cs="宋体"/>
          <w:sz w:val="24"/>
          <w:szCs w:val="24"/>
          <w:u w:val="single"/>
        </w:rPr>
        <w:t xml:space="preserve">     /     </w:t>
      </w:r>
      <w:r>
        <w:rPr>
          <w:rFonts w:hint="eastAsia" w:ascii="宋体" w:hAnsi="宋体" w:eastAsia="宋体" w:cs="宋体"/>
          <w:sz w:val="24"/>
          <w:szCs w:val="24"/>
        </w:rPr>
        <w:t>元）；</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（5）暂列金额：人民币</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（大写）（¥</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（6）增值税额：人民币</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（大写）（¥</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元）；增值税率：</w:t>
      </w:r>
      <w:r>
        <w:rPr>
          <w:rFonts w:hint="eastAsia" w:ascii="宋体" w:hAnsi="宋体" w:eastAsia="宋体" w:cs="宋体"/>
          <w:sz w:val="24"/>
          <w:szCs w:val="24"/>
          <w:u w:val="single"/>
        </w:rPr>
        <w:t>　　　</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2.合同价格形式：</w:t>
      </w:r>
      <w:r>
        <w:rPr>
          <w:rFonts w:hint="eastAsia" w:ascii="宋体" w:hAnsi="宋体" w:eastAsia="宋体" w:cs="宋体"/>
          <w:color w:val="FF0000"/>
          <w:sz w:val="24"/>
          <w:szCs w:val="24"/>
          <w:u w:val="single"/>
        </w:rPr>
        <w:t>固定综合单价</w:t>
      </w:r>
      <w:r>
        <w:rPr>
          <w:rFonts w:hint="eastAsia" w:ascii="宋体" w:hAnsi="宋体" w:eastAsia="宋体" w:cs="宋体"/>
          <w:sz w:val="24"/>
          <w:szCs w:val="24"/>
        </w:rPr>
        <w:t>。</w:t>
      </w:r>
    </w:p>
    <w:p>
      <w:pPr>
        <w:pStyle w:val="44"/>
        <w:spacing w:before="120" w:after="120"/>
        <w:rPr>
          <w:rFonts w:hint="eastAsia" w:ascii="宋体" w:hAnsi="宋体" w:eastAsia="宋体" w:cs="宋体"/>
          <w:b w:val="0"/>
          <w:sz w:val="24"/>
          <w:szCs w:val="24"/>
        </w:rPr>
      </w:pPr>
      <w:bookmarkStart w:id="18" w:name="_Toc351203485"/>
      <w:r>
        <w:rPr>
          <w:rFonts w:hint="eastAsia" w:ascii="宋体" w:hAnsi="宋体" w:eastAsia="宋体" w:cs="宋体"/>
          <w:bCs w:val="0"/>
          <w:sz w:val="24"/>
          <w:szCs w:val="24"/>
        </w:rPr>
        <w:t>五、</w:t>
      </w:r>
      <w:bookmarkEnd w:id="18"/>
      <w:r>
        <w:rPr>
          <w:rFonts w:hint="eastAsia" w:ascii="宋体" w:hAnsi="宋体" w:eastAsia="宋体" w:cs="宋体"/>
          <w:bCs w:val="0"/>
          <w:sz w:val="24"/>
          <w:szCs w:val="24"/>
        </w:rPr>
        <w:t>项目经理</w:t>
      </w:r>
    </w:p>
    <w:p>
      <w:pPr>
        <w:pStyle w:val="4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承包人项目经理：</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rPr>
        <w:t>。</w:t>
      </w:r>
    </w:p>
    <w:p>
      <w:pPr>
        <w:pStyle w:val="44"/>
        <w:spacing w:before="120" w:after="120"/>
        <w:rPr>
          <w:rFonts w:hint="eastAsia" w:ascii="宋体" w:hAnsi="宋体" w:eastAsia="宋体" w:cs="宋体"/>
          <w:bCs w:val="0"/>
          <w:sz w:val="24"/>
          <w:szCs w:val="24"/>
        </w:rPr>
      </w:pPr>
      <w:bookmarkStart w:id="19" w:name="_Toc351203486"/>
      <w:r>
        <w:rPr>
          <w:rFonts w:hint="eastAsia" w:ascii="宋体" w:hAnsi="宋体" w:eastAsia="宋体" w:cs="宋体"/>
          <w:bCs w:val="0"/>
          <w:sz w:val="24"/>
          <w:szCs w:val="24"/>
        </w:rPr>
        <w:t>六、合同文件构成</w:t>
      </w:r>
      <w:bookmarkEnd w:id="19"/>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本协议书与下列文件一起构成合同文件：</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（1）中标通知书（如果有）；</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（2）投标函及其附录（如果有）； </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（3）专用合同条款及其附件；</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（4）通用合同条款；</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（5）技术标准和要求；</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（6）图纸；</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（7）已标价工程量清单或预算书；</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（8）其他合同文件。</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在合同订立及履行过程中形成的与合同有关的文件均构成合同文件组成部分。</w:t>
      </w:r>
    </w:p>
    <w:p>
      <w:pPr>
        <w:pStyle w:val="43"/>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pStyle w:val="44"/>
        <w:spacing w:before="120" w:after="120"/>
        <w:rPr>
          <w:rFonts w:hint="eastAsia" w:ascii="宋体" w:hAnsi="宋体" w:eastAsia="宋体" w:cs="宋体"/>
          <w:b w:val="0"/>
          <w:bCs w:val="0"/>
          <w:sz w:val="24"/>
          <w:szCs w:val="24"/>
        </w:rPr>
      </w:pPr>
      <w:bookmarkStart w:id="20" w:name="_Toc351203487"/>
      <w:r>
        <w:rPr>
          <w:rFonts w:hint="eastAsia" w:ascii="宋体" w:hAnsi="宋体" w:eastAsia="宋体" w:cs="宋体"/>
          <w:bCs w:val="0"/>
          <w:sz w:val="24"/>
          <w:szCs w:val="24"/>
        </w:rPr>
        <w:t>七、承诺</w:t>
      </w:r>
      <w:bookmarkEnd w:id="20"/>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1.发包人承诺按照法律规定履行项目审批手续、筹集工程建设资金并按照合同约定的期限和方式支付合同价款。</w:t>
      </w:r>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2.承包人承诺按照法律规定及合同约定组织完成工程施工，确保工程质量和安全，不进行转包及违法分包，并在缺陷责任期及保修期内承担相应的工程维修责任。</w:t>
      </w:r>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3.发包人和承包人通过招投标形式签订合同的，双方理解并承诺不再就同一工程另行签订与合同实质性内容相背离的协议。</w:t>
      </w:r>
    </w:p>
    <w:p>
      <w:pPr>
        <w:pStyle w:val="43"/>
        <w:spacing w:line="360" w:lineRule="auto"/>
        <w:rPr>
          <w:rFonts w:hint="eastAsia" w:ascii="宋体" w:hAnsi="宋体" w:eastAsia="宋体" w:cs="宋体"/>
          <w:bCs/>
          <w:sz w:val="24"/>
          <w:szCs w:val="24"/>
        </w:rPr>
      </w:pPr>
      <w:bookmarkStart w:id="21" w:name="_Toc351203488"/>
      <w:r>
        <w:rPr>
          <w:rFonts w:hint="eastAsia" w:ascii="宋体" w:hAnsi="宋体" w:eastAsia="宋体" w:cs="宋体"/>
          <w:b/>
          <w:sz w:val="24"/>
          <w:szCs w:val="24"/>
        </w:rPr>
        <w:t xml:space="preserve">    八、词语含义</w:t>
      </w:r>
      <w:bookmarkEnd w:id="21"/>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本协议书中词语含义与第二部分通用合同条款中赋予的含义相同。</w:t>
      </w:r>
    </w:p>
    <w:p>
      <w:pPr>
        <w:pStyle w:val="44"/>
        <w:spacing w:before="120" w:after="120"/>
        <w:rPr>
          <w:rFonts w:hint="eastAsia" w:ascii="宋体" w:hAnsi="宋体" w:eastAsia="宋体" w:cs="宋体"/>
          <w:bCs w:val="0"/>
          <w:sz w:val="24"/>
          <w:szCs w:val="24"/>
        </w:rPr>
      </w:pPr>
      <w:bookmarkStart w:id="22" w:name="_Toc351203489"/>
      <w:r>
        <w:rPr>
          <w:rFonts w:hint="eastAsia" w:ascii="宋体" w:hAnsi="宋体" w:eastAsia="宋体" w:cs="宋体"/>
          <w:bCs w:val="0"/>
          <w:sz w:val="24"/>
          <w:szCs w:val="24"/>
        </w:rPr>
        <w:t>九、签订时间</w:t>
      </w:r>
      <w:bookmarkEnd w:id="22"/>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本合同于</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rPr>
        <w:t>年</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rPr>
        <w:t>月</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rPr>
        <w:t>日签订。</w:t>
      </w:r>
    </w:p>
    <w:p>
      <w:pPr>
        <w:pStyle w:val="44"/>
        <w:spacing w:before="120" w:after="120"/>
        <w:rPr>
          <w:rFonts w:hint="eastAsia" w:ascii="宋体" w:hAnsi="宋体" w:eastAsia="宋体" w:cs="宋体"/>
          <w:bCs w:val="0"/>
          <w:sz w:val="24"/>
          <w:szCs w:val="24"/>
        </w:rPr>
      </w:pPr>
      <w:bookmarkStart w:id="23" w:name="_Toc351203490"/>
      <w:r>
        <w:rPr>
          <w:rFonts w:hint="eastAsia" w:ascii="宋体" w:hAnsi="宋体" w:eastAsia="宋体" w:cs="宋体"/>
          <w:bCs w:val="0"/>
          <w:sz w:val="24"/>
          <w:szCs w:val="24"/>
        </w:rPr>
        <w:t>十、签订地点</w:t>
      </w:r>
      <w:bookmarkEnd w:id="23"/>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本合同在</w:t>
      </w:r>
      <w:r>
        <w:rPr>
          <w:rFonts w:hint="eastAsia" w:ascii="宋体" w:hAnsi="宋体" w:eastAsia="宋体" w:cs="宋体"/>
          <w:bCs/>
          <w:sz w:val="24"/>
          <w:szCs w:val="24"/>
          <w:u w:val="single"/>
        </w:rPr>
        <w:t>河池市城市投资建设发展有限公司</w:t>
      </w:r>
      <w:r>
        <w:rPr>
          <w:rFonts w:hint="eastAsia" w:ascii="宋体" w:hAnsi="宋体" w:eastAsia="宋体" w:cs="宋体"/>
          <w:bCs/>
          <w:sz w:val="24"/>
          <w:szCs w:val="24"/>
        </w:rPr>
        <w:t>签订。</w:t>
      </w:r>
    </w:p>
    <w:p>
      <w:pPr>
        <w:pStyle w:val="44"/>
        <w:spacing w:before="120" w:after="120"/>
        <w:rPr>
          <w:rFonts w:hint="eastAsia" w:ascii="宋体" w:hAnsi="宋体" w:eastAsia="宋体" w:cs="宋体"/>
          <w:bCs w:val="0"/>
          <w:sz w:val="24"/>
          <w:szCs w:val="24"/>
        </w:rPr>
      </w:pPr>
      <w:bookmarkStart w:id="24" w:name="_Toc351203491"/>
      <w:r>
        <w:rPr>
          <w:rFonts w:hint="eastAsia" w:ascii="宋体" w:hAnsi="宋体" w:eastAsia="宋体" w:cs="宋体"/>
          <w:bCs w:val="0"/>
          <w:sz w:val="24"/>
          <w:szCs w:val="24"/>
        </w:rPr>
        <w:t>十一、补充协议</w:t>
      </w:r>
      <w:bookmarkEnd w:id="24"/>
    </w:p>
    <w:p>
      <w:pPr>
        <w:pStyle w:val="43"/>
        <w:spacing w:line="360" w:lineRule="auto"/>
        <w:ind w:firstLine="480" w:firstLineChars="200"/>
        <w:rPr>
          <w:rFonts w:hint="eastAsia" w:ascii="宋体" w:hAnsi="宋体" w:eastAsia="宋体" w:cs="宋体"/>
          <w:b/>
          <w:bCs/>
          <w:sz w:val="24"/>
          <w:szCs w:val="24"/>
        </w:rPr>
      </w:pPr>
      <w:r>
        <w:rPr>
          <w:rFonts w:hint="eastAsia" w:ascii="宋体" w:hAnsi="宋体" w:eastAsia="宋体" w:cs="宋体"/>
          <w:bCs/>
          <w:sz w:val="24"/>
          <w:szCs w:val="24"/>
        </w:rPr>
        <w:t>合同未尽事宜，合同当事人另行签订补充协议，补充协议是合同的组成部分。</w:t>
      </w:r>
    </w:p>
    <w:p>
      <w:pPr>
        <w:pStyle w:val="44"/>
        <w:spacing w:before="120" w:after="120"/>
        <w:rPr>
          <w:rFonts w:hint="eastAsia" w:ascii="宋体" w:hAnsi="宋体" w:eastAsia="宋体" w:cs="宋体"/>
          <w:bCs w:val="0"/>
          <w:sz w:val="24"/>
          <w:szCs w:val="24"/>
        </w:rPr>
      </w:pPr>
      <w:bookmarkStart w:id="25" w:name="_Toc351203492"/>
      <w:r>
        <w:rPr>
          <w:rFonts w:hint="eastAsia" w:ascii="宋体" w:hAnsi="宋体" w:eastAsia="宋体" w:cs="宋体"/>
          <w:bCs w:val="0"/>
          <w:sz w:val="24"/>
          <w:szCs w:val="24"/>
        </w:rPr>
        <w:t>十二、合同生效</w:t>
      </w:r>
      <w:bookmarkEnd w:id="25"/>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本合同自</w:t>
      </w:r>
      <w:r>
        <w:rPr>
          <w:rFonts w:hint="eastAsia" w:ascii="宋体" w:hAnsi="宋体" w:eastAsia="宋体" w:cs="宋体"/>
          <w:bCs/>
          <w:sz w:val="24"/>
          <w:szCs w:val="24"/>
          <w:u w:val="single"/>
        </w:rPr>
        <w:t xml:space="preserve"> 双方法定代表人或委托代理人签字或盖章并加盖单位公章后 </w:t>
      </w:r>
      <w:r>
        <w:rPr>
          <w:rFonts w:hint="eastAsia" w:ascii="宋体" w:hAnsi="宋体" w:eastAsia="宋体" w:cs="宋体"/>
          <w:bCs/>
          <w:sz w:val="24"/>
          <w:szCs w:val="24"/>
        </w:rPr>
        <w:t>生效。</w:t>
      </w:r>
    </w:p>
    <w:p>
      <w:pPr>
        <w:pStyle w:val="44"/>
        <w:spacing w:before="120" w:after="120"/>
        <w:rPr>
          <w:rFonts w:hint="eastAsia" w:ascii="宋体" w:hAnsi="宋体" w:eastAsia="宋体" w:cs="宋体"/>
          <w:bCs w:val="0"/>
          <w:sz w:val="24"/>
          <w:szCs w:val="24"/>
        </w:rPr>
      </w:pPr>
      <w:bookmarkStart w:id="26" w:name="_Toc351203493"/>
      <w:r>
        <w:rPr>
          <w:rFonts w:hint="eastAsia" w:ascii="宋体" w:hAnsi="宋体" w:eastAsia="宋体" w:cs="宋体"/>
          <w:bCs w:val="0"/>
          <w:sz w:val="24"/>
          <w:szCs w:val="24"/>
        </w:rPr>
        <w:t>十三、合同份数</w:t>
      </w:r>
      <w:bookmarkEnd w:id="26"/>
    </w:p>
    <w:p>
      <w:pPr>
        <w:pStyle w:val="43"/>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本合同一式</w:t>
      </w:r>
      <w:r>
        <w:rPr>
          <w:rFonts w:hint="eastAsia" w:ascii="宋体" w:hAnsi="宋体" w:eastAsia="宋体" w:cs="宋体"/>
          <w:bCs/>
          <w:sz w:val="24"/>
          <w:szCs w:val="24"/>
          <w:u w:val="single"/>
        </w:rPr>
        <w:t>肆</w:t>
      </w:r>
      <w:r>
        <w:rPr>
          <w:rFonts w:hint="eastAsia" w:ascii="宋体" w:hAnsi="宋体" w:eastAsia="宋体" w:cs="宋体"/>
          <w:bCs/>
          <w:sz w:val="24"/>
          <w:szCs w:val="24"/>
        </w:rPr>
        <w:t>份，均具有同等法律效力，发包人执</w:t>
      </w:r>
      <w:r>
        <w:rPr>
          <w:rFonts w:hint="eastAsia" w:ascii="宋体" w:hAnsi="宋体" w:eastAsia="宋体" w:cs="宋体"/>
          <w:bCs/>
          <w:sz w:val="24"/>
          <w:szCs w:val="24"/>
          <w:u w:val="single"/>
        </w:rPr>
        <w:t>贰</w:t>
      </w:r>
      <w:r>
        <w:rPr>
          <w:rFonts w:hint="eastAsia" w:ascii="宋体" w:hAnsi="宋体" w:eastAsia="宋体" w:cs="宋体"/>
          <w:bCs/>
          <w:sz w:val="24"/>
          <w:szCs w:val="24"/>
        </w:rPr>
        <w:t>份，承包人执</w:t>
      </w:r>
      <w:r>
        <w:rPr>
          <w:rFonts w:hint="eastAsia" w:ascii="宋体" w:hAnsi="宋体" w:eastAsia="宋体" w:cs="宋体"/>
          <w:bCs/>
          <w:sz w:val="24"/>
          <w:szCs w:val="24"/>
          <w:u w:val="single"/>
        </w:rPr>
        <w:t>贰</w:t>
      </w:r>
      <w:r>
        <w:rPr>
          <w:rFonts w:hint="eastAsia" w:ascii="宋体" w:hAnsi="宋体" w:eastAsia="宋体" w:cs="宋体"/>
          <w:bCs/>
          <w:sz w:val="24"/>
          <w:szCs w:val="24"/>
        </w:rPr>
        <w:t>份。</w:t>
      </w:r>
    </w:p>
    <w:p>
      <w:pPr>
        <w:pStyle w:val="43"/>
        <w:spacing w:line="360" w:lineRule="auto"/>
        <w:ind w:firstLine="480" w:firstLineChars="200"/>
        <w:rPr>
          <w:rFonts w:hint="eastAsia" w:ascii="宋体" w:hAnsi="宋体" w:eastAsia="宋体" w:cs="宋体"/>
          <w:bCs/>
          <w:sz w:val="24"/>
          <w:szCs w:val="24"/>
        </w:rPr>
      </w:pPr>
    </w:p>
    <w:p>
      <w:pPr>
        <w:pStyle w:val="43"/>
        <w:spacing w:line="360" w:lineRule="auto"/>
        <w:ind w:firstLine="480" w:firstLineChars="200"/>
        <w:rPr>
          <w:rFonts w:hint="eastAsia" w:ascii="宋体" w:hAnsi="宋体" w:eastAsia="宋体" w:cs="宋体"/>
          <w:bCs/>
          <w:sz w:val="24"/>
          <w:szCs w:val="24"/>
        </w:rPr>
      </w:pPr>
    </w:p>
    <w:p>
      <w:pPr>
        <w:pStyle w:val="43"/>
        <w:spacing w:line="360" w:lineRule="auto"/>
        <w:ind w:firstLine="480" w:firstLineChars="200"/>
        <w:rPr>
          <w:rFonts w:hint="eastAsia" w:ascii="宋体" w:hAnsi="宋体" w:eastAsia="宋体" w:cs="宋体"/>
          <w:bCs/>
          <w:sz w:val="24"/>
          <w:szCs w:val="24"/>
        </w:rPr>
      </w:pPr>
    </w:p>
    <w:p>
      <w:pPr>
        <w:pStyle w:val="43"/>
        <w:spacing w:line="360" w:lineRule="auto"/>
        <w:ind w:firstLine="480" w:firstLineChars="200"/>
        <w:rPr>
          <w:rFonts w:hint="eastAsia" w:ascii="宋体" w:hAnsi="宋体" w:eastAsia="宋体" w:cs="宋体"/>
          <w:bCs/>
          <w:sz w:val="24"/>
          <w:szCs w:val="24"/>
        </w:rPr>
      </w:pPr>
    </w:p>
    <w:p>
      <w:pPr>
        <w:pStyle w:val="43"/>
        <w:spacing w:line="360" w:lineRule="auto"/>
        <w:ind w:firstLine="480" w:firstLineChars="200"/>
        <w:rPr>
          <w:rFonts w:hint="eastAsia" w:ascii="宋体" w:hAnsi="宋体" w:eastAsia="宋体" w:cs="宋体"/>
          <w:bCs/>
          <w:sz w:val="24"/>
          <w:szCs w:val="24"/>
        </w:rPr>
      </w:pPr>
    </w:p>
    <w:p>
      <w:pPr>
        <w:pStyle w:val="43"/>
        <w:spacing w:line="360" w:lineRule="auto"/>
        <w:ind w:firstLine="480" w:firstLineChars="200"/>
        <w:rPr>
          <w:rFonts w:hint="eastAsia" w:ascii="宋体" w:hAnsi="宋体" w:eastAsia="宋体" w:cs="宋体"/>
          <w:bCs/>
          <w:sz w:val="24"/>
          <w:szCs w:val="24"/>
        </w:rPr>
      </w:pPr>
    </w:p>
    <w:p>
      <w:pPr>
        <w:pStyle w:val="43"/>
        <w:spacing w:line="360" w:lineRule="auto"/>
        <w:ind w:firstLine="480" w:firstLineChars="200"/>
        <w:rPr>
          <w:rFonts w:hint="eastAsia" w:ascii="宋体" w:hAnsi="宋体" w:eastAsia="宋体" w:cs="宋体"/>
          <w:bCs/>
          <w:sz w:val="24"/>
          <w:szCs w:val="24"/>
        </w:rPr>
      </w:pPr>
    </w:p>
    <w:p>
      <w:pPr>
        <w:pStyle w:val="43"/>
        <w:spacing w:line="360" w:lineRule="auto"/>
        <w:ind w:firstLine="480" w:firstLineChars="200"/>
        <w:rPr>
          <w:rFonts w:hint="eastAsia" w:ascii="宋体" w:hAnsi="宋体" w:eastAsia="宋体" w:cs="宋体"/>
          <w:bCs/>
          <w:sz w:val="24"/>
          <w:szCs w:val="24"/>
        </w:rPr>
      </w:pPr>
    </w:p>
    <w:p>
      <w:pPr>
        <w:pStyle w:val="43"/>
        <w:spacing w:line="360" w:lineRule="auto"/>
        <w:rPr>
          <w:rFonts w:hint="eastAsia" w:ascii="宋体" w:hAnsi="宋体" w:eastAsia="宋体" w:cs="宋体"/>
          <w:sz w:val="24"/>
          <w:szCs w:val="24"/>
        </w:rPr>
      </w:pPr>
      <w:r>
        <w:rPr>
          <w:rFonts w:hint="eastAsia" w:ascii="宋体" w:hAnsi="宋体" w:eastAsia="宋体" w:cs="宋体"/>
          <w:sz w:val="24"/>
          <w:szCs w:val="24"/>
        </w:rPr>
        <w:t>发包人：</w:t>
      </w:r>
      <w:r>
        <w:rPr>
          <w:rFonts w:hint="eastAsia" w:ascii="宋体" w:hAnsi="宋体" w:eastAsia="宋体" w:cs="宋体"/>
          <w:bCs/>
          <w:sz w:val="24"/>
          <w:szCs w:val="24"/>
        </w:rPr>
        <w:t>河池市城市投资建设发展</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承包人：(公章)  </w:t>
      </w:r>
    </w:p>
    <w:p>
      <w:pPr>
        <w:pStyle w:val="43"/>
        <w:spacing w:line="360" w:lineRule="auto"/>
        <w:ind w:firstLine="960" w:firstLineChars="400"/>
        <w:rPr>
          <w:rFonts w:hint="eastAsia" w:ascii="宋体" w:hAnsi="宋体" w:eastAsia="宋体" w:cs="宋体"/>
          <w:sz w:val="24"/>
          <w:szCs w:val="24"/>
        </w:rPr>
      </w:pPr>
      <w:r>
        <w:rPr>
          <w:rFonts w:hint="eastAsia" w:ascii="宋体" w:hAnsi="宋体" w:eastAsia="宋体" w:cs="宋体"/>
          <w:bCs/>
          <w:sz w:val="24"/>
          <w:szCs w:val="24"/>
        </w:rPr>
        <w:t>有限公司</w:t>
      </w:r>
      <w:r>
        <w:rPr>
          <w:rFonts w:hint="eastAsia" w:ascii="宋体" w:hAnsi="宋体" w:eastAsia="宋体" w:cs="宋体"/>
          <w:sz w:val="24"/>
          <w:szCs w:val="24"/>
        </w:rPr>
        <w:t xml:space="preserve">(公章)                      </w:t>
      </w:r>
    </w:p>
    <w:p>
      <w:pPr>
        <w:pStyle w:val="43"/>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pStyle w:val="43"/>
        <w:spacing w:line="360" w:lineRule="auto"/>
        <w:rPr>
          <w:rFonts w:hint="eastAsia" w:ascii="宋体" w:hAnsi="宋体" w:eastAsia="宋体" w:cs="宋体"/>
          <w:sz w:val="24"/>
          <w:szCs w:val="24"/>
        </w:rPr>
      </w:pPr>
      <w:r>
        <w:rPr>
          <w:rFonts w:hint="eastAsia" w:ascii="宋体" w:hAnsi="宋体" w:eastAsia="宋体" w:cs="宋体"/>
          <w:sz w:val="24"/>
          <w:szCs w:val="24"/>
        </w:rPr>
        <w:t>法定代表人或其</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法定代表人或其</w:t>
      </w:r>
    </w:p>
    <w:p>
      <w:pPr>
        <w:pStyle w:val="43"/>
        <w:spacing w:line="360" w:lineRule="auto"/>
        <w:rPr>
          <w:rFonts w:hint="eastAsia" w:ascii="宋体" w:hAnsi="宋体" w:eastAsia="宋体" w:cs="宋体"/>
          <w:sz w:val="24"/>
          <w:szCs w:val="24"/>
        </w:rPr>
      </w:pPr>
      <w:r>
        <w:rPr>
          <w:rFonts w:hint="eastAsia" w:ascii="宋体" w:hAnsi="宋体" w:eastAsia="宋体" w:cs="宋体"/>
          <w:sz w:val="24"/>
          <w:szCs w:val="24"/>
        </w:rPr>
        <w:t>委托代理人（签字或盖章）：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委托代理人（签字或盖章）：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pStyle w:val="43"/>
        <w:tabs>
          <w:tab w:val="left" w:pos="4410"/>
        </w:tabs>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组织机构代码：</w:t>
      </w:r>
      <w:r>
        <w:rPr>
          <w:rFonts w:hint="eastAsia" w:ascii="宋体" w:hAnsi="宋体" w:eastAsia="宋体" w:cs="宋体"/>
          <w:sz w:val="24"/>
          <w:szCs w:val="24"/>
          <w:u w:val="single"/>
        </w:rPr>
        <w:t xml:space="preserve">91451200775987453K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组织机构代码：</w:t>
      </w:r>
      <w:r>
        <w:rPr>
          <w:rFonts w:hint="eastAsia" w:ascii="宋体" w:hAnsi="宋体" w:cs="宋体"/>
          <w:sz w:val="24"/>
          <w:szCs w:val="24"/>
          <w:u w:val="single"/>
          <w:lang w:val="en-US" w:eastAsia="zh-CN"/>
        </w:rPr>
        <w:t xml:space="preserve">                    </w:t>
      </w:r>
    </w:p>
    <w:p>
      <w:pPr>
        <w:pStyle w:val="43"/>
        <w:spacing w:line="360" w:lineRule="auto"/>
        <w:rPr>
          <w:rFonts w:hint="eastAsia" w:ascii="宋体" w:hAnsi="宋体" w:cs="宋体"/>
          <w:sz w:val="24"/>
          <w:szCs w:val="24"/>
          <w:u w:val="single"/>
          <w:lang w:val="en-US" w:eastAsia="zh-CN"/>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河池市金城江区金碧路25号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地  址：</w:t>
      </w:r>
      <w:r>
        <w:rPr>
          <w:rFonts w:hint="eastAsia" w:ascii="宋体" w:hAnsi="宋体" w:cs="宋体"/>
          <w:sz w:val="24"/>
          <w:szCs w:val="24"/>
          <w:u w:val="single"/>
          <w:lang w:val="en-US" w:eastAsia="zh-CN"/>
        </w:rPr>
        <w:t xml:space="preserve">                           </w:t>
      </w:r>
    </w:p>
    <w:p>
      <w:pPr>
        <w:pStyle w:val="43"/>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547000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邮政编码：</w:t>
      </w:r>
      <w:r>
        <w:rPr>
          <w:rFonts w:hint="eastAsia" w:ascii="宋体" w:hAnsi="宋体" w:cs="宋体"/>
          <w:sz w:val="24"/>
          <w:szCs w:val="24"/>
          <w:u w:val="single"/>
          <w:lang w:val="en-US" w:eastAsia="zh-CN"/>
        </w:rPr>
        <w:t xml:space="preserve">                         </w:t>
      </w:r>
    </w:p>
    <w:p>
      <w:pPr>
        <w:pStyle w:val="43"/>
        <w:spacing w:line="360" w:lineRule="auto"/>
        <w:rPr>
          <w:rFonts w:hint="default" w:ascii="宋体" w:hAnsi="宋体" w:eastAsia="宋体" w:cs="宋体"/>
          <w:sz w:val="24"/>
          <w:szCs w:val="24"/>
          <w:u w:val="single"/>
          <w:lang w:val="en-US" w:eastAsia="zh-CN"/>
        </w:rPr>
      </w:pPr>
      <w:r>
        <w:rPr>
          <w:rFonts w:hint="eastAsia" w:ascii="宋体" w:hAnsi="宋体" w:cs="宋体"/>
          <w:sz w:val="24"/>
          <w:szCs w:val="24"/>
          <w:lang w:val="en-US" w:eastAsia="zh-CN"/>
        </w:rPr>
        <w:t>经办</w:t>
      </w:r>
      <w:r>
        <w:rPr>
          <w:rFonts w:hint="eastAsia" w:ascii="宋体" w:hAnsi="宋体" w:eastAsia="宋体" w:cs="宋体"/>
          <w:sz w:val="24"/>
          <w:szCs w:val="24"/>
        </w:rPr>
        <w:t>人：</w:t>
      </w:r>
      <w:r>
        <w:rPr>
          <w:rFonts w:hint="eastAsia" w:ascii="宋体" w:hAnsi="宋体" w:eastAsia="宋体" w:cs="宋体"/>
          <w:sz w:val="24"/>
          <w:szCs w:val="24"/>
          <w:u w:val="single"/>
        </w:rPr>
        <w:t xml:space="preserve">     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经办</w:t>
      </w:r>
      <w:r>
        <w:rPr>
          <w:rFonts w:hint="eastAsia" w:ascii="宋体" w:hAnsi="宋体" w:eastAsia="宋体" w:cs="宋体"/>
          <w:sz w:val="24"/>
          <w:szCs w:val="24"/>
        </w:rPr>
        <w:t>人：</w:t>
      </w:r>
      <w:r>
        <w:rPr>
          <w:rFonts w:hint="eastAsia" w:ascii="宋体" w:hAnsi="宋体" w:cs="宋体"/>
          <w:sz w:val="24"/>
          <w:szCs w:val="24"/>
          <w:u w:val="single"/>
          <w:lang w:val="en-US" w:eastAsia="zh-CN"/>
        </w:rPr>
        <w:t xml:space="preserve">                           </w:t>
      </w:r>
    </w:p>
    <w:p>
      <w:pPr>
        <w:pStyle w:val="43"/>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07782296550 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电  话：</w:t>
      </w:r>
      <w:r>
        <w:rPr>
          <w:rFonts w:hint="eastAsia" w:ascii="宋体" w:hAnsi="宋体" w:cs="宋体"/>
          <w:sz w:val="24"/>
          <w:szCs w:val="24"/>
          <w:u w:val="single"/>
          <w:lang w:val="en-US" w:eastAsia="zh-CN"/>
        </w:rPr>
        <w:t xml:space="preserve">                           </w:t>
      </w:r>
    </w:p>
    <w:p>
      <w:pPr>
        <w:pStyle w:val="43"/>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传  真：</w:t>
      </w:r>
      <w:r>
        <w:rPr>
          <w:rFonts w:hint="eastAsia" w:ascii="宋体" w:hAnsi="宋体" w:eastAsia="宋体" w:cs="宋体"/>
          <w:sz w:val="24"/>
          <w:szCs w:val="24"/>
          <w:u w:val="single"/>
        </w:rPr>
        <w:t xml:space="preserve">07782210155             </w:t>
      </w:r>
      <w:r>
        <w:rPr>
          <w:rFonts w:hint="eastAsia" w:ascii="宋体" w:hAnsi="宋体" w:cs="宋体"/>
          <w:sz w:val="24"/>
          <w:szCs w:val="24"/>
          <w:lang w:val="en-US" w:eastAsia="zh-CN"/>
        </w:rPr>
        <w:t xml:space="preserve">   </w:t>
      </w:r>
      <w:r>
        <w:rPr>
          <w:rFonts w:hint="eastAsia" w:ascii="宋体" w:hAnsi="宋体" w:eastAsia="宋体" w:cs="宋体"/>
          <w:sz w:val="24"/>
          <w:szCs w:val="24"/>
        </w:rPr>
        <w:t>传  真：</w:t>
      </w:r>
      <w:r>
        <w:rPr>
          <w:rFonts w:hint="eastAsia" w:ascii="宋体" w:hAnsi="宋体" w:cs="宋体"/>
          <w:sz w:val="24"/>
          <w:szCs w:val="24"/>
          <w:u w:val="single"/>
          <w:lang w:val="en-US" w:eastAsia="zh-CN"/>
        </w:rPr>
        <w:t xml:space="preserve">                            </w:t>
      </w:r>
    </w:p>
    <w:p>
      <w:pPr>
        <w:pStyle w:val="43"/>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电子信箱：</w:t>
      </w:r>
      <w:r>
        <w:rPr>
          <w:rFonts w:hint="eastAsia" w:ascii="宋体" w:hAnsi="宋体" w:eastAsia="宋体" w:cs="宋体"/>
          <w:sz w:val="24"/>
          <w:szCs w:val="24"/>
          <w:u w:val="single"/>
        </w:rPr>
        <w:t xml:space="preserve">  hcsctgsdegs@163.com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电子信箱</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p>
    <w:p>
      <w:pPr>
        <w:pStyle w:val="43"/>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开户银行：</w:t>
      </w:r>
      <w:r>
        <w:rPr>
          <w:rFonts w:hint="eastAsia" w:ascii="宋体" w:hAnsi="宋体" w:cs="宋体"/>
          <w:sz w:val="24"/>
          <w:szCs w:val="24"/>
          <w:u w:val="single"/>
          <w:lang w:val="en-US" w:eastAsia="zh-CN"/>
        </w:rPr>
        <w:t xml:space="preserve">                         </w:t>
      </w:r>
    </w:p>
    <w:p>
      <w:pPr>
        <w:pStyle w:val="43"/>
        <w:spacing w:line="36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账  号：</w:t>
      </w:r>
      <w:r>
        <w:rPr>
          <w:rFonts w:hint="eastAsia" w:ascii="宋体" w:hAnsi="宋体" w:cs="宋体"/>
          <w:sz w:val="24"/>
          <w:szCs w:val="24"/>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账  号：</w:t>
      </w:r>
      <w:bookmarkEnd w:id="13"/>
      <w:r>
        <w:rPr>
          <w:rFonts w:hint="eastAsia" w:ascii="宋体" w:hAnsi="宋体" w:cs="宋体"/>
          <w:sz w:val="24"/>
          <w:szCs w:val="24"/>
          <w:u w:val="single"/>
          <w:lang w:val="en-US" w:eastAsia="zh-CN"/>
        </w:rPr>
        <w:t xml:space="preserve">                           </w:t>
      </w:r>
    </w:p>
    <w:p>
      <w:pPr>
        <w:pStyle w:val="42"/>
        <w:tabs>
          <w:tab w:val="left" w:pos="6480"/>
        </w:tabs>
        <w:spacing w:before="0" w:after="0"/>
        <w:jc w:val="center"/>
        <w:rPr>
          <w:rFonts w:hint="eastAsia" w:ascii="宋体" w:hAnsi="宋体" w:eastAsia="宋体" w:cs="宋体"/>
          <w:sz w:val="24"/>
          <w:szCs w:val="24"/>
        </w:rPr>
      </w:pPr>
      <w:bookmarkStart w:id="27" w:name="_Toc351203494"/>
      <w:bookmarkStart w:id="28" w:name="_Toc508111530"/>
    </w:p>
    <w:p>
      <w:pPr>
        <w:pStyle w:val="42"/>
        <w:tabs>
          <w:tab w:val="left" w:pos="6480"/>
        </w:tabs>
        <w:spacing w:before="0" w:after="0"/>
        <w:jc w:val="both"/>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3"/>
        <w:rPr>
          <w:rFonts w:hint="eastAsia" w:ascii="宋体" w:hAnsi="宋体" w:eastAsia="宋体" w:cs="宋体"/>
          <w:sz w:val="24"/>
          <w:szCs w:val="24"/>
        </w:rPr>
      </w:pPr>
    </w:p>
    <w:p>
      <w:pPr>
        <w:pStyle w:val="42"/>
        <w:tabs>
          <w:tab w:val="left" w:pos="6480"/>
        </w:tabs>
        <w:spacing w:before="0" w:after="0"/>
        <w:jc w:val="center"/>
        <w:rPr>
          <w:rFonts w:hint="eastAsia" w:ascii="宋体" w:hAnsi="宋体" w:eastAsia="宋体" w:cs="宋体"/>
          <w:sz w:val="24"/>
          <w:szCs w:val="24"/>
        </w:rPr>
      </w:pPr>
    </w:p>
    <w:p>
      <w:pPr>
        <w:pStyle w:val="42"/>
        <w:tabs>
          <w:tab w:val="left" w:pos="6480"/>
        </w:tabs>
        <w:spacing w:before="0" w:after="0"/>
        <w:jc w:val="center"/>
        <w:rPr>
          <w:rFonts w:hint="eastAsia" w:ascii="宋体" w:hAnsi="宋体" w:eastAsia="宋体" w:cs="宋体"/>
          <w:sz w:val="24"/>
          <w:szCs w:val="24"/>
        </w:rPr>
      </w:pPr>
      <w:r>
        <w:rPr>
          <w:rFonts w:hint="eastAsia" w:ascii="宋体" w:hAnsi="宋体" w:eastAsia="宋体" w:cs="宋体"/>
          <w:sz w:val="24"/>
          <w:szCs w:val="24"/>
        </w:rPr>
        <w:t>第二部分 通用合同条款</w:t>
      </w:r>
      <w:bookmarkEnd w:id="27"/>
      <w:bookmarkEnd w:id="28"/>
      <w:bookmarkStart w:id="29" w:name="_Toc303538972"/>
      <w:bookmarkEnd w:id="29"/>
      <w:bookmarkStart w:id="30" w:name="_Toc303538973"/>
      <w:bookmarkEnd w:id="30"/>
      <w:bookmarkStart w:id="31" w:name="_Toc303538976"/>
      <w:bookmarkEnd w:id="31"/>
      <w:bookmarkStart w:id="32" w:name="_Toc303538975"/>
      <w:bookmarkEnd w:id="32"/>
      <w:bookmarkStart w:id="33" w:name="_Toc303538974"/>
      <w:bookmarkEnd w:id="33"/>
    </w:p>
    <w:p>
      <w:pPr>
        <w:pStyle w:val="42"/>
        <w:tabs>
          <w:tab w:val="left" w:pos="6480"/>
        </w:tabs>
        <w:spacing w:before="0" w:after="0"/>
        <w:jc w:val="center"/>
        <w:rPr>
          <w:rFonts w:hint="eastAsia" w:ascii="宋体" w:hAnsi="宋体" w:eastAsia="宋体" w:cs="宋体"/>
          <w:sz w:val="24"/>
          <w:szCs w:val="24"/>
        </w:rPr>
      </w:pPr>
      <w:r>
        <w:rPr>
          <w:rFonts w:hint="eastAsia" w:ascii="宋体" w:hAnsi="宋体" w:eastAsia="宋体" w:cs="宋体"/>
          <w:bCs w:val="0"/>
          <w:color w:val="000000"/>
          <w:sz w:val="24"/>
          <w:szCs w:val="24"/>
        </w:rPr>
        <w:t>参照（GF—2017—0201）建设工程施工合同</w:t>
      </w:r>
    </w:p>
    <w:p>
      <w:pPr>
        <w:pStyle w:val="42"/>
        <w:tabs>
          <w:tab w:val="left" w:pos="6480"/>
        </w:tabs>
        <w:spacing w:before="0" w:after="0" w:line="600" w:lineRule="exact"/>
        <w:jc w:val="center"/>
        <w:rPr>
          <w:rFonts w:hint="eastAsia" w:ascii="宋体" w:hAnsi="宋体" w:eastAsia="宋体" w:cs="宋体"/>
          <w:sz w:val="24"/>
          <w:szCs w:val="24"/>
        </w:rPr>
      </w:pPr>
      <w:bookmarkStart w:id="34" w:name="_Toc14650"/>
      <w:bookmarkStart w:id="35" w:name="_Toc508111531"/>
      <w:bookmarkStart w:id="36" w:name="_Toc14238"/>
      <w:bookmarkStart w:id="37" w:name="_Toc389065257"/>
      <w:bookmarkStart w:id="38" w:name="_Toc466476772"/>
      <w:r>
        <w:rPr>
          <w:rFonts w:hint="eastAsia" w:ascii="宋体" w:hAnsi="宋体" w:eastAsia="宋体" w:cs="宋体"/>
          <w:sz w:val="24"/>
          <w:szCs w:val="24"/>
        </w:rPr>
        <w:t>第三部分 专用合同条款</w:t>
      </w:r>
      <w:bookmarkEnd w:id="34"/>
      <w:bookmarkEnd w:id="35"/>
      <w:bookmarkEnd w:id="36"/>
      <w:bookmarkEnd w:id="37"/>
      <w:bookmarkEnd w:id="38"/>
    </w:p>
    <w:p>
      <w:pPr>
        <w:pStyle w:val="46"/>
        <w:tabs>
          <w:tab w:val="left" w:pos="6480"/>
        </w:tabs>
        <w:spacing w:before="0" w:after="0"/>
        <w:rPr>
          <w:rFonts w:hint="eastAsia" w:ascii="宋体" w:hAnsi="宋体" w:eastAsia="宋体" w:cs="宋体"/>
          <w:sz w:val="24"/>
          <w:szCs w:val="24"/>
        </w:rPr>
      </w:pPr>
      <w:bookmarkStart w:id="39" w:name="_Toc351203633"/>
      <w:bookmarkStart w:id="40" w:name="_Toc466476773"/>
      <w:bookmarkStart w:id="41" w:name="_Toc389065258"/>
      <w:bookmarkStart w:id="42" w:name="_Toc373227692"/>
      <w:bookmarkStart w:id="43" w:name="_Toc373478339"/>
      <w:bookmarkStart w:id="44" w:name="_Toc17349"/>
      <w:bookmarkStart w:id="45" w:name="_Toc508111532"/>
      <w:bookmarkStart w:id="46" w:name="_Toc24944"/>
      <w:r>
        <w:rPr>
          <w:rFonts w:hint="eastAsia" w:ascii="宋体" w:hAnsi="宋体" w:eastAsia="宋体" w:cs="宋体"/>
          <w:sz w:val="24"/>
          <w:szCs w:val="24"/>
        </w:rPr>
        <w:t>1</w:t>
      </w:r>
      <w:bookmarkStart w:id="47" w:name="_Toc297048342"/>
      <w:bookmarkStart w:id="48" w:name="_Toc296503156"/>
      <w:bookmarkStart w:id="49" w:name="_Toc296944495"/>
      <w:bookmarkStart w:id="50" w:name="_Toc296347155"/>
      <w:bookmarkStart w:id="51" w:name="_Toc296346657"/>
      <w:bookmarkStart w:id="52" w:name="_Toc296890984"/>
      <w:bookmarkStart w:id="53" w:name="_Toc292559361"/>
      <w:bookmarkStart w:id="54" w:name="_Toc292559866"/>
      <w:bookmarkStart w:id="55" w:name="_Toc296891196"/>
      <w:bookmarkStart w:id="56" w:name="_Toc297120456"/>
      <w:r>
        <w:rPr>
          <w:rFonts w:hint="eastAsia" w:ascii="宋体" w:hAnsi="宋体" w:eastAsia="宋体" w:cs="宋体"/>
          <w:sz w:val="24"/>
          <w:szCs w:val="24"/>
        </w:rPr>
        <w:t>. 一般约定</w:t>
      </w:r>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p>
      <w:pPr>
        <w:pStyle w:val="48"/>
        <w:tabs>
          <w:tab w:val="left" w:pos="6480"/>
        </w:tabs>
        <w:spacing w:before="0" w:after="0"/>
        <w:rPr>
          <w:rFonts w:hint="eastAsia" w:ascii="宋体" w:hAnsi="宋体" w:eastAsia="宋体" w:cs="宋体"/>
          <w:sz w:val="24"/>
          <w:szCs w:val="24"/>
        </w:rPr>
      </w:pPr>
      <w:bookmarkStart w:id="57" w:name="_Toc508111533"/>
      <w:bookmarkStart w:id="58" w:name="_Toc466476774"/>
      <w:bookmarkStart w:id="59" w:name="_Toc5176"/>
      <w:bookmarkStart w:id="60" w:name="_Toc389065259"/>
      <w:bookmarkStart w:id="61" w:name="_Toc373478340"/>
      <w:bookmarkStart w:id="62" w:name="_Toc373227693"/>
      <w:bookmarkStart w:id="63" w:name="_Toc12329"/>
      <w:r>
        <w:rPr>
          <w:rFonts w:hint="eastAsia" w:ascii="宋体" w:hAnsi="宋体" w:eastAsia="宋体" w:cs="宋体"/>
          <w:sz w:val="24"/>
          <w:szCs w:val="24"/>
        </w:rPr>
        <w:t>1.1 词语定义</w:t>
      </w:r>
      <w:bookmarkEnd w:id="57"/>
      <w:bookmarkEnd w:id="58"/>
      <w:bookmarkEnd w:id="59"/>
      <w:bookmarkEnd w:id="60"/>
      <w:bookmarkEnd w:id="61"/>
      <w:bookmarkEnd w:id="62"/>
      <w:bookmarkEnd w:id="63"/>
    </w:p>
    <w:p>
      <w:pPr>
        <w:pStyle w:val="47"/>
        <w:spacing w:line="360" w:lineRule="auto"/>
        <w:ind w:firstLine="480" w:firstLineChars="200"/>
        <w:rPr>
          <w:rFonts w:hint="eastAsia" w:ascii="宋体" w:hAnsi="宋体" w:eastAsia="宋体" w:cs="宋体"/>
          <w:kern w:val="0"/>
          <w:sz w:val="24"/>
          <w:szCs w:val="24"/>
        </w:rPr>
      </w:pPr>
      <w:bookmarkStart w:id="64" w:name="_Toc466476775"/>
      <w:bookmarkStart w:id="65" w:name="_Toc373227694"/>
      <w:bookmarkStart w:id="66" w:name="_Toc373478341"/>
      <w:bookmarkStart w:id="67" w:name="_Toc389065260"/>
      <w:r>
        <w:rPr>
          <w:rFonts w:hint="eastAsia" w:ascii="宋体" w:hAnsi="宋体" w:eastAsia="宋体" w:cs="宋体"/>
          <w:kern w:val="0"/>
          <w:sz w:val="24"/>
          <w:szCs w:val="24"/>
        </w:rPr>
        <w:t>1.1.1 合同</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1.1.1.10 其他合同文件包括：</w:t>
      </w:r>
      <w:r>
        <w:rPr>
          <w:rFonts w:hint="eastAsia" w:ascii="宋体" w:hAnsi="宋体" w:eastAsia="宋体" w:cs="宋体"/>
          <w:sz w:val="24"/>
          <w:szCs w:val="24"/>
          <w:u w:val="single"/>
        </w:rPr>
        <w:t>承包人相关承诺及合同有关的协商文件</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 合同当事人及其他相关方</w:t>
      </w:r>
    </w:p>
    <w:p>
      <w:pPr>
        <w:pStyle w:val="47"/>
        <w:spacing w:line="360" w:lineRule="auto"/>
        <w:ind w:firstLine="480" w:firstLineChars="200"/>
        <w:rPr>
          <w:rFonts w:hint="default" w:ascii="宋体" w:hAnsi="宋体" w:eastAsia="宋体" w:cs="宋体"/>
          <w:sz w:val="24"/>
          <w:szCs w:val="24"/>
          <w:u w:val="single"/>
          <w:lang w:val="en-US" w:eastAsia="zh-CN"/>
        </w:rPr>
      </w:pPr>
      <w:r>
        <w:rPr>
          <w:rFonts w:hint="eastAsia" w:ascii="宋体" w:hAnsi="宋体" w:eastAsia="宋体" w:cs="宋体"/>
          <w:sz w:val="24"/>
          <w:szCs w:val="24"/>
        </w:rPr>
        <w:t>1.1.2.4 监理人：</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名称：</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资质类别和等级：</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adjustRightInd w:val="0"/>
        <w:snapToGrid w:val="0"/>
        <w:spacing w:line="360" w:lineRule="auto"/>
        <w:ind w:right="-126" w:rightChars="-60" w:firstLine="480" w:firstLineChars="200"/>
        <w:rPr>
          <w:rFonts w:hint="eastAsia" w:ascii="宋体" w:hAnsi="宋体" w:eastAsia="宋体" w:cs="宋体"/>
          <w:sz w:val="24"/>
          <w:szCs w:val="24"/>
          <w:u w:val="single"/>
        </w:rPr>
      </w:pPr>
      <w:r>
        <w:rPr>
          <w:rFonts w:hint="eastAsia" w:ascii="宋体" w:hAnsi="宋体" w:eastAsia="宋体" w:cs="宋体"/>
          <w:sz w:val="24"/>
          <w:szCs w:val="24"/>
        </w:rPr>
        <w:t>通信地址：</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1.1.2.5 设计人：</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名称：</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资质类别和等级：</w:t>
      </w:r>
      <w:r>
        <w:rPr>
          <w:rFonts w:hint="eastAsia" w:ascii="宋体" w:hAnsi="宋体" w:eastAsia="宋体" w:cs="宋体"/>
          <w:sz w:val="24"/>
          <w:szCs w:val="24"/>
          <w:u w:val="single"/>
        </w:rPr>
        <w:t></w:t>
      </w:r>
      <w:r>
        <w:rPr>
          <w:rFonts w:hint="eastAsia" w:ascii="宋体" w:hAnsi="宋体" w:eastAsia="宋体" w:cs="宋体"/>
          <w:sz w:val="24"/>
          <w:szCs w:val="24"/>
        </w:rPr>
        <w:t>；</w:t>
      </w:r>
    </w:p>
    <w:p>
      <w:pPr>
        <w:pStyle w:val="47"/>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 工程和设备</w:t>
      </w:r>
    </w:p>
    <w:p>
      <w:pPr>
        <w:pStyle w:val="47"/>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1.1.3.7 作为施工现场组成部分的其他场所包括：</w:t>
      </w:r>
      <w:r>
        <w:rPr>
          <w:rFonts w:hint="eastAsia" w:ascii="宋体" w:hAnsi="宋体" w:eastAsia="宋体" w:cs="宋体"/>
          <w:sz w:val="24"/>
          <w:szCs w:val="24"/>
          <w:u w:val="single"/>
        </w:rPr>
        <w:t>发包人提交的本合同工程所涉地块土地范围内所包括的场所。</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1.1.3.9 永久占地包括：</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1.1.3.10 临时占地包括：</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pStyle w:val="48"/>
        <w:tabs>
          <w:tab w:val="left" w:pos="6480"/>
        </w:tabs>
        <w:spacing w:before="0" w:after="0"/>
        <w:rPr>
          <w:rFonts w:hint="eastAsia" w:ascii="宋体" w:hAnsi="宋体" w:eastAsia="宋体" w:cs="宋体"/>
          <w:sz w:val="24"/>
          <w:szCs w:val="24"/>
        </w:rPr>
      </w:pPr>
      <w:bookmarkStart w:id="68" w:name="_Toc508111534"/>
      <w:bookmarkStart w:id="69" w:name="_Toc29024"/>
      <w:bookmarkStart w:id="70" w:name="_Toc24659"/>
      <w:r>
        <w:rPr>
          <w:rFonts w:hint="eastAsia" w:ascii="宋体" w:hAnsi="宋体" w:eastAsia="宋体" w:cs="宋体"/>
          <w:sz w:val="24"/>
          <w:szCs w:val="24"/>
        </w:rPr>
        <w:t>1.3 法律</w:t>
      </w:r>
      <w:bookmarkEnd w:id="64"/>
      <w:bookmarkEnd w:id="65"/>
      <w:bookmarkEnd w:id="66"/>
      <w:bookmarkEnd w:id="67"/>
      <w:bookmarkEnd w:id="68"/>
      <w:bookmarkEnd w:id="69"/>
      <w:bookmarkEnd w:id="70"/>
    </w:p>
    <w:p>
      <w:pPr>
        <w:pStyle w:val="47"/>
        <w:autoSpaceDE w:val="0"/>
        <w:autoSpaceDN w:val="0"/>
        <w:adjustRightInd w:val="0"/>
        <w:spacing w:line="360" w:lineRule="auto"/>
        <w:jc w:val="left"/>
        <w:rPr>
          <w:rFonts w:hint="eastAsia" w:ascii="宋体" w:hAnsi="宋体" w:eastAsia="宋体" w:cs="宋体"/>
          <w:sz w:val="24"/>
          <w:szCs w:val="24"/>
        </w:rPr>
      </w:pPr>
      <w:r>
        <w:rPr>
          <w:rFonts w:hint="eastAsia" w:ascii="宋体" w:hAnsi="宋体" w:eastAsia="宋体" w:cs="宋体"/>
          <w:sz w:val="24"/>
          <w:szCs w:val="24"/>
        </w:rPr>
        <w:t>适用于合同的其他规范性文件：</w:t>
      </w:r>
      <w:r>
        <w:rPr>
          <w:rFonts w:hint="eastAsia" w:ascii="宋体" w:hAnsi="宋体" w:eastAsia="宋体" w:cs="宋体"/>
          <w:sz w:val="24"/>
          <w:szCs w:val="24"/>
          <w:u w:val="single"/>
        </w:rPr>
        <w:t>我国现行法律、行政法规、部门规章，工程所在地地方性法规、地方政府规章、规范性文件</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71" w:name="_Toc466476776"/>
      <w:bookmarkStart w:id="72" w:name="_Toc12225"/>
      <w:bookmarkStart w:id="73" w:name="_Toc23195"/>
      <w:bookmarkStart w:id="74" w:name="_Toc373478342"/>
      <w:bookmarkStart w:id="75" w:name="_Toc508111535"/>
      <w:bookmarkStart w:id="76" w:name="_Toc389065261"/>
      <w:bookmarkStart w:id="77" w:name="_Toc373227695"/>
      <w:r>
        <w:rPr>
          <w:rFonts w:hint="eastAsia" w:ascii="宋体" w:hAnsi="宋体" w:eastAsia="宋体" w:cs="宋体"/>
          <w:sz w:val="24"/>
          <w:szCs w:val="24"/>
        </w:rPr>
        <w:t>1.4 标准和规范</w:t>
      </w:r>
      <w:bookmarkEnd w:id="71"/>
      <w:bookmarkEnd w:id="72"/>
      <w:bookmarkEnd w:id="73"/>
      <w:bookmarkEnd w:id="74"/>
      <w:bookmarkEnd w:id="75"/>
      <w:bookmarkEnd w:id="76"/>
      <w:bookmarkEnd w:id="77"/>
    </w:p>
    <w:p>
      <w:pPr>
        <w:pStyle w:val="47"/>
        <w:tabs>
          <w:tab w:val="left" w:pos="6480"/>
        </w:tabs>
        <w:spacing w:line="420" w:lineRule="exact"/>
        <w:rPr>
          <w:rFonts w:hint="eastAsia" w:ascii="宋体" w:hAnsi="宋体" w:eastAsia="宋体" w:cs="宋体"/>
          <w:sz w:val="24"/>
          <w:szCs w:val="24"/>
        </w:rPr>
      </w:pPr>
      <w:r>
        <w:rPr>
          <w:rFonts w:hint="eastAsia" w:ascii="宋体" w:hAnsi="宋体" w:eastAsia="宋体" w:cs="宋体"/>
          <w:sz w:val="24"/>
          <w:szCs w:val="24"/>
        </w:rPr>
        <w:t>1.4.1 适用于工程的标准规范包括：</w:t>
      </w:r>
      <w:r>
        <w:rPr>
          <w:rFonts w:hint="eastAsia" w:ascii="宋体" w:hAnsi="宋体" w:eastAsia="宋体" w:cs="宋体"/>
          <w:sz w:val="24"/>
          <w:szCs w:val="24"/>
          <w:u w:val="single"/>
        </w:rPr>
        <w:t>本合同签订时现行的国家标准、规范、行业标准、规范等</w:t>
      </w:r>
      <w:r>
        <w:rPr>
          <w:rFonts w:hint="eastAsia" w:ascii="宋体" w:hAnsi="宋体" w:eastAsia="宋体" w:cs="宋体"/>
          <w:sz w:val="24"/>
          <w:szCs w:val="24"/>
        </w:rPr>
        <w:t>。</w:t>
      </w:r>
    </w:p>
    <w:p>
      <w:pPr>
        <w:pStyle w:val="47"/>
        <w:tabs>
          <w:tab w:val="left" w:pos="648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1.4.2 发包人提供国外标准、规范的名称：</w:t>
      </w:r>
      <w:r>
        <w:rPr>
          <w:rFonts w:hint="eastAsia" w:ascii="宋体" w:hAnsi="宋体" w:eastAsia="宋体" w:cs="宋体"/>
          <w:kern w:val="0"/>
          <w:sz w:val="24"/>
          <w:szCs w:val="24"/>
          <w:u w:val="single"/>
        </w:rPr>
        <w:t xml:space="preserve">  </w:t>
      </w:r>
      <w:r>
        <w:rPr>
          <w:rFonts w:hint="eastAsia" w:ascii="宋体" w:hAnsi="宋体" w:eastAsia="宋体" w:cs="宋体"/>
          <w:sz w:val="24"/>
          <w:szCs w:val="24"/>
          <w:u w:val="single"/>
        </w:rPr>
        <w:t xml:space="preserve">无           </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发包人提供国外标准、规范的份数：</w:t>
      </w:r>
      <w:r>
        <w:rPr>
          <w:rFonts w:hint="eastAsia" w:ascii="宋体" w:hAnsi="宋体" w:eastAsia="宋体" w:cs="宋体"/>
          <w:kern w:val="0"/>
          <w:sz w:val="24"/>
          <w:szCs w:val="24"/>
          <w:u w:val="single"/>
        </w:rPr>
        <w:t xml:space="preserve">     无          </w:t>
      </w:r>
      <w:r>
        <w:rPr>
          <w:rFonts w:hint="eastAsia" w:ascii="宋体" w:hAnsi="宋体" w:eastAsia="宋体" w:cs="宋体"/>
          <w:kern w:val="0"/>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发包人提供国外标准、规范的名称：</w:t>
      </w:r>
      <w:r>
        <w:rPr>
          <w:rFonts w:hint="eastAsia" w:ascii="宋体" w:hAnsi="宋体" w:eastAsia="宋体" w:cs="宋体"/>
          <w:kern w:val="0"/>
          <w:sz w:val="24"/>
          <w:szCs w:val="24"/>
          <w:u w:val="single"/>
        </w:rPr>
        <w:t xml:space="preserve">     无          </w:t>
      </w:r>
      <w:r>
        <w:rPr>
          <w:rFonts w:hint="eastAsia" w:ascii="宋体" w:hAnsi="宋体" w:eastAsia="宋体" w:cs="宋体"/>
          <w:kern w:val="0"/>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1.4.3 发包人对工程的技术标准和功能要求的特殊要求：</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78" w:name="_Toc28413"/>
      <w:bookmarkStart w:id="79" w:name="_Toc508111536"/>
      <w:bookmarkStart w:id="80" w:name="_Toc373478343"/>
      <w:bookmarkStart w:id="81" w:name="_Toc373227696"/>
      <w:bookmarkStart w:id="82" w:name="_Toc27689"/>
      <w:bookmarkStart w:id="83" w:name="_Toc466476777"/>
      <w:bookmarkStart w:id="84" w:name="_Toc389065262"/>
      <w:r>
        <w:rPr>
          <w:rFonts w:hint="eastAsia" w:ascii="宋体" w:hAnsi="宋体" w:eastAsia="宋体" w:cs="宋体"/>
          <w:sz w:val="24"/>
          <w:szCs w:val="24"/>
        </w:rPr>
        <w:t>1.5 合同文件的优先顺序</w:t>
      </w:r>
      <w:bookmarkEnd w:id="78"/>
      <w:bookmarkEnd w:id="79"/>
      <w:bookmarkEnd w:id="80"/>
      <w:bookmarkEnd w:id="81"/>
      <w:bookmarkEnd w:id="82"/>
      <w:bookmarkEnd w:id="83"/>
      <w:bookmarkEnd w:id="84"/>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合同文件组成及优先顺序为：</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（1）合同协议书；</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（2）中标通知书；</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（3）投标函及其附录；</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（4）专用合同条款及其附件；</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（5）通用合同条款；</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（6）技术标准和要求；</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（7）图纸；</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（8）已标价工程量清单或预算书；</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（9）其他合同文件。</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建设工程工程量清单计价规范（GB50500-2013）》及其广西实施细则及《关于建筑业实施营业税改征增值税后广西壮族自治区建设工程计价依据调整的通知》（桂建标〔2016〕17号）、《建设工程工程量计算规范（GB50854~50862-2013）》及其广西实施细则（修订本）。</w:t>
      </w:r>
    </w:p>
    <w:p>
      <w:pPr>
        <w:pStyle w:val="48"/>
        <w:tabs>
          <w:tab w:val="left" w:pos="6480"/>
        </w:tabs>
        <w:spacing w:before="0" w:after="0"/>
        <w:rPr>
          <w:rFonts w:hint="eastAsia" w:ascii="宋体" w:hAnsi="宋体" w:eastAsia="宋体" w:cs="宋体"/>
          <w:sz w:val="24"/>
          <w:szCs w:val="24"/>
        </w:rPr>
      </w:pPr>
      <w:bookmarkStart w:id="85" w:name="_Toc373478344"/>
      <w:bookmarkStart w:id="86" w:name="_Toc8641"/>
      <w:bookmarkStart w:id="87" w:name="_Toc218"/>
      <w:bookmarkStart w:id="88" w:name="_Toc389065263"/>
      <w:bookmarkStart w:id="89" w:name="_Toc508111537"/>
      <w:bookmarkStart w:id="90" w:name="_Toc466476778"/>
      <w:bookmarkStart w:id="91" w:name="_Toc373227697"/>
      <w:r>
        <w:rPr>
          <w:rFonts w:hint="eastAsia" w:ascii="宋体" w:hAnsi="宋体" w:eastAsia="宋体" w:cs="宋体"/>
          <w:sz w:val="24"/>
          <w:szCs w:val="24"/>
        </w:rPr>
        <w:t>1.6 图纸和承包人文件</w:t>
      </w:r>
      <w:bookmarkEnd w:id="85"/>
      <w:bookmarkEnd w:id="86"/>
      <w:bookmarkEnd w:id="87"/>
      <w:bookmarkEnd w:id="88"/>
      <w:bookmarkEnd w:id="89"/>
      <w:bookmarkEnd w:id="90"/>
      <w:bookmarkEnd w:id="91"/>
      <w:r>
        <w:rPr>
          <w:rFonts w:hint="eastAsia" w:ascii="宋体" w:hAnsi="宋体" w:eastAsia="宋体" w:cs="宋体"/>
          <w:sz w:val="24"/>
          <w:szCs w:val="24"/>
        </w:rPr>
        <w:tab/>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1.6.1 图纸的提供</w:t>
      </w:r>
    </w:p>
    <w:p>
      <w:pPr>
        <w:pStyle w:val="47"/>
        <w:numPr>
          <w:ilvl w:val="0"/>
          <w:numId w:val="0"/>
        </w:numPr>
        <w:tabs>
          <w:tab w:val="left" w:pos="6480"/>
        </w:tabs>
        <w:spacing w:line="360" w:lineRule="auto"/>
        <w:ind w:leftChars="0" w:firstLine="480" w:firstLineChars="20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发包人向承包人提供图纸的期限：</w:t>
      </w:r>
      <w:r>
        <w:rPr>
          <w:rFonts w:hint="eastAsia" w:ascii="宋体" w:hAnsi="宋体" w:eastAsia="宋体" w:cs="宋体"/>
          <w:sz w:val="24"/>
          <w:szCs w:val="24"/>
          <w:u w:val="single"/>
        </w:rPr>
        <w:t>合同生效之日起7天内</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发包人向承包人提供图纸的数量：</w:t>
      </w:r>
      <w:r>
        <w:rPr>
          <w:rFonts w:hint="eastAsia" w:ascii="宋体" w:hAnsi="宋体" w:eastAsia="宋体" w:cs="宋体"/>
          <w:sz w:val="24"/>
          <w:szCs w:val="24"/>
          <w:u w:val="single"/>
        </w:rPr>
        <w:t>陆套，承包人需要增加图纸套数的，发包人应代为复制，复制费用由承包人承担</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发包人向承包人提供图纸的内容：</w:t>
      </w:r>
      <w:r>
        <w:rPr>
          <w:rFonts w:hint="eastAsia" w:ascii="宋体" w:hAnsi="宋体" w:eastAsia="宋体" w:cs="宋体"/>
          <w:sz w:val="24"/>
          <w:szCs w:val="24"/>
          <w:u w:val="single"/>
        </w:rPr>
        <w:t>经设计、审图单位盖章合格的全套施工图纸</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1.6.4 承包人文件</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需要由承包人提供的文件，包括：</w:t>
      </w:r>
      <w:r>
        <w:rPr>
          <w:rFonts w:hint="eastAsia" w:ascii="宋体" w:hAnsi="宋体" w:eastAsia="宋体" w:cs="宋体"/>
          <w:sz w:val="24"/>
          <w:szCs w:val="24"/>
          <w:u w:val="single"/>
        </w:rPr>
        <w:t>必要的加工图、大样图及国家建筑标准设计图集</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承包人提供的文件的期限为：</w:t>
      </w:r>
      <w:r>
        <w:rPr>
          <w:rFonts w:hint="eastAsia" w:ascii="宋体" w:hAnsi="宋体" w:eastAsia="宋体" w:cs="宋体"/>
          <w:sz w:val="24"/>
          <w:szCs w:val="24"/>
          <w:u w:val="single"/>
        </w:rPr>
        <w:t>构件开始施工前7天内</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承包人提供的文件的数量为：</w:t>
      </w:r>
      <w:r>
        <w:rPr>
          <w:rFonts w:hint="eastAsia" w:ascii="宋体" w:hAnsi="宋体" w:eastAsia="宋体" w:cs="宋体"/>
          <w:sz w:val="24"/>
          <w:szCs w:val="24"/>
          <w:u w:val="single"/>
        </w:rPr>
        <w:t>一式陆套</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承包人提供的文件的形式为：</w:t>
      </w:r>
      <w:r>
        <w:rPr>
          <w:rFonts w:hint="eastAsia" w:ascii="宋体" w:hAnsi="宋体" w:eastAsia="宋体" w:cs="宋体"/>
          <w:sz w:val="24"/>
          <w:szCs w:val="24"/>
          <w:u w:val="single"/>
        </w:rPr>
        <w:t>纸质</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发包人审批承包人文件的期限：</w:t>
      </w:r>
      <w:r>
        <w:rPr>
          <w:rFonts w:hint="eastAsia" w:ascii="宋体" w:hAnsi="宋体" w:eastAsia="宋体" w:cs="宋体"/>
          <w:sz w:val="24"/>
          <w:szCs w:val="24"/>
          <w:u w:val="single"/>
        </w:rPr>
        <w:t>文件签收后7天内</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1.6.5 现场图纸准备</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关于现场图纸准备的约定：</w:t>
      </w:r>
      <w:r>
        <w:rPr>
          <w:rFonts w:hint="eastAsia" w:ascii="宋体" w:hAnsi="宋体" w:eastAsia="宋体" w:cs="宋体"/>
          <w:sz w:val="24"/>
          <w:szCs w:val="24"/>
          <w:u w:val="single"/>
        </w:rPr>
        <w:t>承包人在施工现场另外保存一套完整的图纸和承包人文件供发包人、监理人及相关人员进行工程检查时使用</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92" w:name="_Toc24707"/>
      <w:bookmarkStart w:id="93" w:name="_Toc373478345"/>
      <w:bookmarkStart w:id="94" w:name="_Toc389065264"/>
      <w:bookmarkStart w:id="95" w:name="_Toc508111538"/>
      <w:bookmarkStart w:id="96" w:name="_Toc466476779"/>
      <w:bookmarkStart w:id="97" w:name="_Toc16350"/>
      <w:bookmarkStart w:id="98" w:name="_Toc373227698"/>
      <w:r>
        <w:rPr>
          <w:rFonts w:hint="eastAsia" w:ascii="宋体" w:hAnsi="宋体" w:eastAsia="宋体" w:cs="宋体"/>
          <w:sz w:val="24"/>
          <w:szCs w:val="24"/>
        </w:rPr>
        <w:t>1.7 联络</w:t>
      </w:r>
      <w:bookmarkEnd w:id="92"/>
      <w:bookmarkEnd w:id="93"/>
      <w:bookmarkEnd w:id="94"/>
      <w:bookmarkEnd w:id="95"/>
      <w:bookmarkEnd w:id="96"/>
      <w:bookmarkEnd w:id="97"/>
      <w:bookmarkEnd w:id="98"/>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1.7.1发包人和承包人应当在</w:t>
      </w:r>
      <w:r>
        <w:rPr>
          <w:rFonts w:hint="eastAsia" w:ascii="宋体" w:hAnsi="宋体" w:eastAsia="宋体" w:cs="宋体"/>
          <w:sz w:val="24"/>
          <w:szCs w:val="24"/>
          <w:u w:val="single"/>
        </w:rPr>
        <w:t>7</w:t>
      </w:r>
      <w:r>
        <w:rPr>
          <w:rFonts w:hint="eastAsia" w:ascii="宋体" w:hAnsi="宋体" w:eastAsia="宋体" w:cs="宋体"/>
          <w:kern w:val="0"/>
          <w:sz w:val="24"/>
          <w:szCs w:val="24"/>
        </w:rPr>
        <w:t>天内将与合同有关的通知、批准、证明、证书、指示、指令、要求、请求、同意、意见、确定和决定等书面函件送达对方当事人。</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1.7.2 发包人接收文件的地点：</w:t>
      </w:r>
      <w:r>
        <w:rPr>
          <w:rFonts w:hint="eastAsia" w:ascii="宋体" w:hAnsi="宋体" w:eastAsia="宋体" w:cs="宋体"/>
          <w:sz w:val="24"/>
          <w:szCs w:val="24"/>
          <w:u w:val="single"/>
        </w:rPr>
        <w:t>项目经理部</w:t>
      </w:r>
      <w:r>
        <w:rPr>
          <w:rFonts w:hint="eastAsia" w:ascii="宋体" w:hAnsi="宋体" w:eastAsia="宋体" w:cs="宋体"/>
          <w:kern w:val="0"/>
          <w:sz w:val="24"/>
          <w:szCs w:val="24"/>
        </w:rPr>
        <w:t>；</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发包人指定的接收人为：</w:t>
      </w:r>
      <w:r>
        <w:rPr>
          <w:rFonts w:hint="eastAsia" w:ascii="宋体" w:hAnsi="宋体" w:eastAsia="宋体" w:cs="宋体"/>
          <w:sz w:val="24"/>
          <w:szCs w:val="24"/>
          <w:u w:val="single"/>
        </w:rPr>
        <w:t>建设单位现场代表</w:t>
      </w:r>
      <w:r>
        <w:rPr>
          <w:rFonts w:hint="eastAsia" w:ascii="宋体" w:hAnsi="宋体" w:eastAsia="宋体" w:cs="宋体"/>
          <w:kern w:val="0"/>
          <w:sz w:val="24"/>
          <w:szCs w:val="24"/>
        </w:rPr>
        <w:t>。</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承包人接收文件的地点：</w:t>
      </w:r>
      <w:r>
        <w:rPr>
          <w:rFonts w:hint="eastAsia" w:ascii="宋体" w:hAnsi="宋体" w:eastAsia="宋体" w:cs="宋体"/>
          <w:sz w:val="24"/>
          <w:szCs w:val="24"/>
          <w:u w:val="single"/>
        </w:rPr>
        <w:t>承包人施工现场管理机构的办公地点</w:t>
      </w:r>
      <w:r>
        <w:rPr>
          <w:rFonts w:hint="eastAsia" w:ascii="宋体" w:hAnsi="宋体" w:eastAsia="宋体" w:cs="宋体"/>
          <w:kern w:val="0"/>
          <w:sz w:val="24"/>
          <w:szCs w:val="24"/>
        </w:rPr>
        <w:t>；</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承包人指定的接收人为：</w:t>
      </w:r>
      <w:r>
        <w:rPr>
          <w:rFonts w:hint="eastAsia" w:ascii="宋体" w:hAnsi="宋体" w:eastAsia="宋体" w:cs="宋体"/>
          <w:sz w:val="24"/>
          <w:szCs w:val="24"/>
          <w:u w:val="single"/>
        </w:rPr>
        <w:t>合同协议书中载明的承包人项目经理本人或者项目经理的授权代表</w:t>
      </w:r>
      <w:r>
        <w:rPr>
          <w:rFonts w:hint="eastAsia" w:ascii="宋体" w:hAnsi="宋体" w:eastAsia="宋体" w:cs="宋体"/>
          <w:kern w:val="0"/>
          <w:sz w:val="24"/>
          <w:szCs w:val="24"/>
        </w:rPr>
        <w:t>。</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监理人接收文件的地点：</w:t>
      </w:r>
      <w:r>
        <w:rPr>
          <w:rFonts w:hint="eastAsia" w:ascii="宋体" w:hAnsi="宋体" w:eastAsia="宋体" w:cs="宋体"/>
          <w:sz w:val="24"/>
          <w:szCs w:val="24"/>
          <w:u w:val="single"/>
        </w:rPr>
        <w:t>项目监理部</w:t>
      </w:r>
      <w:r>
        <w:rPr>
          <w:rFonts w:hint="eastAsia" w:ascii="宋体" w:hAnsi="宋体" w:eastAsia="宋体" w:cs="宋体"/>
          <w:kern w:val="0"/>
          <w:sz w:val="24"/>
          <w:szCs w:val="24"/>
        </w:rPr>
        <w:t>；</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监理人指定的接收人为：</w:t>
      </w:r>
      <w:r>
        <w:rPr>
          <w:rFonts w:hint="eastAsia" w:ascii="宋体" w:hAnsi="宋体" w:eastAsia="宋体" w:cs="宋体"/>
          <w:sz w:val="24"/>
          <w:szCs w:val="24"/>
          <w:u w:val="single"/>
        </w:rPr>
        <w:t>现场监理工程师</w:t>
      </w:r>
      <w:r>
        <w:rPr>
          <w:rFonts w:hint="eastAsia" w:ascii="宋体" w:hAnsi="宋体" w:eastAsia="宋体" w:cs="宋体"/>
          <w:kern w:val="0"/>
          <w:sz w:val="24"/>
          <w:szCs w:val="24"/>
        </w:rPr>
        <w:t>。</w:t>
      </w:r>
    </w:p>
    <w:p>
      <w:pPr>
        <w:pStyle w:val="47"/>
        <w:tabs>
          <w:tab w:val="left" w:pos="6480"/>
        </w:tabs>
        <w:spacing w:line="420" w:lineRule="exact"/>
        <w:rPr>
          <w:rFonts w:hint="eastAsia" w:ascii="宋体" w:hAnsi="宋体" w:eastAsia="宋体" w:cs="宋体"/>
          <w:b/>
          <w:bCs/>
          <w:sz w:val="24"/>
          <w:szCs w:val="24"/>
        </w:rPr>
      </w:pPr>
      <w:bookmarkStart w:id="99" w:name="_Toc4563"/>
      <w:bookmarkStart w:id="100" w:name="_Toc373478346"/>
      <w:bookmarkStart w:id="101" w:name="_Toc373227699"/>
      <w:bookmarkStart w:id="102" w:name="_Toc389065265"/>
      <w:bookmarkStart w:id="103" w:name="_Toc373478348"/>
      <w:bookmarkStart w:id="104" w:name="_Toc389065267"/>
      <w:bookmarkStart w:id="105" w:name="_Toc373227701"/>
      <w:r>
        <w:rPr>
          <w:rFonts w:hint="eastAsia" w:ascii="宋体" w:hAnsi="宋体" w:eastAsia="宋体" w:cs="宋体"/>
          <w:b/>
          <w:bCs/>
          <w:sz w:val="24"/>
          <w:szCs w:val="24"/>
        </w:rPr>
        <w:t>1.10交通运输</w:t>
      </w:r>
      <w:bookmarkEnd w:id="99"/>
      <w:bookmarkEnd w:id="100"/>
      <w:bookmarkEnd w:id="101"/>
      <w:bookmarkEnd w:id="102"/>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bookmarkStart w:id="106" w:name="_Toc300934943"/>
      <w:bookmarkStart w:id="107" w:name="_Toc304295521"/>
      <w:bookmarkStart w:id="108" w:name="_Toc312677986"/>
      <w:bookmarkStart w:id="109" w:name="_Toc318581155"/>
      <w:bookmarkStart w:id="110" w:name="_Toc303539100"/>
      <w:r>
        <w:rPr>
          <w:rFonts w:hint="eastAsia" w:ascii="宋体" w:hAnsi="宋体" w:eastAsia="宋体" w:cs="宋体"/>
          <w:sz w:val="24"/>
          <w:szCs w:val="24"/>
        </w:rPr>
        <w:t>.10.1 出入现场的权利</w:t>
      </w:r>
    </w:p>
    <w:p>
      <w:pPr>
        <w:pStyle w:val="47"/>
        <w:tabs>
          <w:tab w:val="left" w:pos="6480"/>
        </w:tabs>
        <w:spacing w:line="42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关于出入现场的权利的约定：</w:t>
      </w:r>
      <w:r>
        <w:rPr>
          <w:rFonts w:hint="eastAsia" w:ascii="宋体" w:hAnsi="宋体" w:eastAsia="宋体" w:cs="宋体"/>
          <w:sz w:val="24"/>
          <w:szCs w:val="24"/>
          <w:u w:val="single"/>
        </w:rPr>
        <w:t>按通用条款1.10.1执行</w:t>
      </w:r>
      <w:r>
        <w:rPr>
          <w:rFonts w:hint="eastAsia" w:ascii="宋体" w:hAnsi="宋体" w:eastAsia="宋体" w:cs="宋体"/>
          <w:sz w:val="24"/>
          <w:szCs w:val="24"/>
        </w:rPr>
        <w:t>。</w:t>
      </w:r>
    </w:p>
    <w:bookmarkEnd w:id="106"/>
    <w:bookmarkEnd w:id="107"/>
    <w:bookmarkEnd w:id="108"/>
    <w:bookmarkEnd w:id="109"/>
    <w:bookmarkEnd w:id="110"/>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bookmarkStart w:id="111" w:name="_Toc300934944"/>
      <w:bookmarkStart w:id="112" w:name="_Toc318581156"/>
      <w:bookmarkStart w:id="113" w:name="_Toc303539101"/>
      <w:bookmarkStart w:id="114" w:name="_Toc312677987"/>
      <w:bookmarkStart w:id="115" w:name="_Toc304295522"/>
      <w:r>
        <w:rPr>
          <w:rFonts w:hint="eastAsia" w:ascii="宋体" w:hAnsi="宋体" w:eastAsia="宋体" w:cs="宋体"/>
          <w:sz w:val="24"/>
          <w:szCs w:val="24"/>
        </w:rPr>
        <w:t>.10.3 场内交通</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关于场外交通和场内交通的边界的约定：</w:t>
      </w:r>
      <w:r>
        <w:rPr>
          <w:rFonts w:hint="eastAsia" w:ascii="宋体" w:hAnsi="宋体" w:eastAsia="宋体" w:cs="宋体"/>
          <w:kern w:val="0"/>
          <w:sz w:val="24"/>
          <w:szCs w:val="24"/>
          <w:u w:val="single"/>
        </w:rPr>
        <w:t>本项目约定工程所在地块范围为场内</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关于发包人向承包人免费提供满足工程施工需要的场内道路和交通设施的约定：</w:t>
      </w:r>
      <w:r>
        <w:rPr>
          <w:rFonts w:hint="eastAsia" w:ascii="宋体" w:hAnsi="宋体" w:eastAsia="宋体" w:cs="宋体"/>
          <w:sz w:val="24"/>
          <w:szCs w:val="24"/>
          <w:u w:val="single"/>
        </w:rPr>
        <w:t>开工前七天公共道路的通道开通至施工场地外边缘即可，其余由承包人负责修建及保养等</w:t>
      </w:r>
      <w:r>
        <w:rPr>
          <w:rFonts w:hint="eastAsia" w:ascii="宋体" w:hAnsi="宋体" w:eastAsia="宋体" w:cs="宋体"/>
          <w:sz w:val="24"/>
          <w:szCs w:val="24"/>
        </w:rPr>
        <w:t>。</w:t>
      </w:r>
      <w:bookmarkEnd w:id="111"/>
      <w:bookmarkEnd w:id="112"/>
      <w:bookmarkEnd w:id="113"/>
      <w:bookmarkEnd w:id="114"/>
      <w:bookmarkEnd w:id="115"/>
      <w:bookmarkStart w:id="116" w:name="_Toc318581157"/>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1.10.4 超大件和超重件的运输</w:t>
      </w:r>
    </w:p>
    <w:p>
      <w:pPr>
        <w:pStyle w:val="47"/>
        <w:keepNext w:val="0"/>
        <w:keepLines w:val="0"/>
        <w:pageBreakBefore w:val="0"/>
        <w:widowControl w:val="0"/>
        <w:tabs>
          <w:tab w:val="left" w:pos="6480"/>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运输超大件或超重件所需的道路和桥梁临时加固改造费用和其他有关费用</w:t>
      </w:r>
      <w:bookmarkEnd w:id="116"/>
      <w:bookmarkStart w:id="117" w:name="_Toc373227700"/>
      <w:bookmarkStart w:id="118" w:name="_Toc373478347"/>
      <w:bookmarkStart w:id="119" w:name="_Toc389065266"/>
      <w:bookmarkStart w:id="120" w:name="_Toc13287"/>
      <w:r>
        <w:rPr>
          <w:rFonts w:hint="eastAsia" w:ascii="宋体" w:hAnsi="宋体" w:eastAsia="宋体" w:cs="宋体"/>
          <w:sz w:val="24"/>
          <w:szCs w:val="24"/>
          <w:u w:val="single"/>
        </w:rPr>
        <w:t>由承包人</w:t>
      </w:r>
      <w:r>
        <w:rPr>
          <w:rFonts w:hint="eastAsia" w:ascii="宋体" w:hAnsi="宋体" w:eastAsia="宋体" w:cs="宋体"/>
          <w:sz w:val="24"/>
          <w:szCs w:val="24"/>
        </w:rPr>
        <w:t>承担。</w:t>
      </w:r>
    </w:p>
    <w:p>
      <w:pPr>
        <w:pStyle w:val="47"/>
        <w:keepNext w:val="0"/>
        <w:keepLines w:val="0"/>
        <w:pageBreakBefore w:val="0"/>
        <w:widowControl w:val="0"/>
        <w:tabs>
          <w:tab w:val="left" w:pos="6480"/>
        </w:tabs>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1.11 知识产权</w:t>
      </w:r>
      <w:bookmarkEnd w:id="117"/>
      <w:bookmarkEnd w:id="118"/>
      <w:bookmarkEnd w:id="119"/>
      <w:bookmarkEnd w:id="120"/>
    </w:p>
    <w:p>
      <w:pPr>
        <w:pStyle w:val="47"/>
        <w:keepNext w:val="0"/>
        <w:keepLines w:val="0"/>
        <w:pageBreakBefore w:val="0"/>
        <w:widowControl w:val="0"/>
        <w:tabs>
          <w:tab w:val="left" w:pos="6480"/>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1.11.1 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sz w:val="24"/>
          <w:szCs w:val="24"/>
          <w:u w:val="single"/>
        </w:rPr>
        <w:t>发包人</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关于发包人提供的上述文件的使用限制的要求：</w:t>
      </w:r>
      <w:r>
        <w:rPr>
          <w:rFonts w:hint="eastAsia" w:ascii="宋体" w:hAnsi="宋体" w:eastAsia="宋体" w:cs="宋体"/>
          <w:sz w:val="24"/>
          <w:szCs w:val="24"/>
          <w:u w:val="single"/>
        </w:rPr>
        <w:t>承包人可以为实现合同目的而复制、使用此类文件，但不能用于与本合同无关的其他事项，未经发包人书面同意，承包人不得为了本合同以外的目的而复制、使用上述文件或将之提供给任何第三方</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1.11.2 关于承包人为实施工程所编制文件的著作权的归属：</w:t>
      </w:r>
      <w:r>
        <w:rPr>
          <w:rFonts w:hint="eastAsia" w:ascii="宋体" w:hAnsi="宋体" w:eastAsia="宋体" w:cs="宋体"/>
          <w:sz w:val="24"/>
          <w:szCs w:val="24"/>
          <w:u w:val="single"/>
        </w:rPr>
        <w:t>承包人</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关于承包人提供的上述文件的使用限制的要求：</w:t>
      </w:r>
      <w:r>
        <w:rPr>
          <w:rFonts w:hint="eastAsia" w:ascii="宋体" w:hAnsi="宋体" w:eastAsia="宋体" w:cs="宋体"/>
          <w:sz w:val="24"/>
          <w:szCs w:val="24"/>
          <w:u w:val="single"/>
        </w:rPr>
        <w:t>承包人可因施工工程的运行、调试、维修、改造等目的而复制、使用此类文件，但不能用于与合同无关的其他事项。未经发包人书面同意，承包人不能为了合同以外的目的而复制、使用上述文件或将之提供给任何第三方</w:t>
      </w:r>
      <w:r>
        <w:rPr>
          <w:rFonts w:hint="eastAsia" w:ascii="宋体" w:hAnsi="宋体" w:eastAsia="宋体" w:cs="宋体"/>
          <w:sz w:val="24"/>
          <w:szCs w:val="24"/>
        </w:rPr>
        <w:t>。</w:t>
      </w:r>
    </w:p>
    <w:p>
      <w:pPr>
        <w:pStyle w:val="47"/>
        <w:pageBreakBefore w:val="0"/>
        <w:widowControl w:val="0"/>
        <w:tabs>
          <w:tab w:val="left" w:pos="6480"/>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1.11.4 承包人在施工过程中所采用的专利、专有技术、技术秘密的使用费的承担方式：</w:t>
      </w:r>
      <w:r>
        <w:rPr>
          <w:rFonts w:hint="eastAsia" w:ascii="宋体" w:hAnsi="宋体" w:eastAsia="宋体" w:cs="宋体"/>
          <w:sz w:val="24"/>
          <w:szCs w:val="24"/>
          <w:u w:val="single"/>
        </w:rPr>
        <w:t>由承包人承担</w:t>
      </w:r>
      <w:r>
        <w:rPr>
          <w:rFonts w:hint="eastAsia" w:ascii="宋体" w:hAnsi="宋体" w:eastAsia="宋体" w:cs="宋体"/>
          <w:kern w:val="0"/>
          <w:sz w:val="24"/>
          <w:szCs w:val="24"/>
          <w:u w:val="none"/>
        </w:rPr>
        <w:t>。</w:t>
      </w:r>
    </w:p>
    <w:p>
      <w:pPr>
        <w:pStyle w:val="48"/>
        <w:pageBreakBefore w:val="0"/>
        <w:widowControl w:val="0"/>
        <w:tabs>
          <w:tab w:val="left" w:pos="6480"/>
        </w:tabs>
        <w:kinsoku/>
        <w:wordWrap/>
        <w:overflowPunct/>
        <w:topLinePunct w:val="0"/>
        <w:autoSpaceDE/>
        <w:autoSpaceDN/>
        <w:bidi w:val="0"/>
        <w:adjustRightInd/>
        <w:snapToGrid/>
        <w:spacing w:before="0" w:after="0" w:line="420" w:lineRule="exact"/>
        <w:textAlignment w:val="auto"/>
        <w:rPr>
          <w:rFonts w:hint="eastAsia" w:ascii="宋体" w:hAnsi="宋体" w:eastAsia="宋体" w:cs="宋体"/>
          <w:sz w:val="24"/>
          <w:szCs w:val="24"/>
        </w:rPr>
      </w:pPr>
      <w:bookmarkStart w:id="121" w:name="_Toc508111539"/>
      <w:bookmarkStart w:id="122" w:name="_Toc28617"/>
      <w:bookmarkStart w:id="123" w:name="_Toc13818"/>
      <w:bookmarkStart w:id="124" w:name="_Toc466476780"/>
      <w:r>
        <w:rPr>
          <w:rFonts w:hint="eastAsia" w:ascii="宋体" w:hAnsi="宋体" w:eastAsia="宋体" w:cs="宋体"/>
          <w:sz w:val="24"/>
          <w:szCs w:val="24"/>
        </w:rPr>
        <w:t>1.13工程量清单错误的修正</w:t>
      </w:r>
      <w:bookmarkEnd w:id="103"/>
      <w:bookmarkEnd w:id="104"/>
      <w:bookmarkEnd w:id="105"/>
      <w:bookmarkEnd w:id="121"/>
      <w:bookmarkEnd w:id="122"/>
      <w:bookmarkEnd w:id="123"/>
      <w:bookmarkEnd w:id="124"/>
    </w:p>
    <w:p>
      <w:pPr>
        <w:pStyle w:val="47"/>
        <w:pageBreakBefore w:val="0"/>
        <w:widowControl w:val="0"/>
        <w:tabs>
          <w:tab w:val="left" w:pos="6480"/>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bookmarkStart w:id="125" w:name="_Toc389065268"/>
      <w:bookmarkStart w:id="126" w:name="_Toc373478349"/>
      <w:bookmarkStart w:id="127" w:name="_Toc373227702"/>
      <w:bookmarkStart w:id="128" w:name="_Toc351203634"/>
      <w:r>
        <w:rPr>
          <w:rFonts w:hint="eastAsia" w:ascii="宋体" w:hAnsi="宋体" w:eastAsia="宋体" w:cs="宋体"/>
          <w:sz w:val="24"/>
          <w:szCs w:val="24"/>
        </w:rPr>
        <w:t>出现工程量清单工程量偏差时，是否调整合同价格：</w:t>
      </w:r>
      <w:r>
        <w:rPr>
          <w:rFonts w:hint="eastAsia" w:ascii="宋体" w:hAnsi="宋体" w:eastAsia="宋体" w:cs="宋体"/>
          <w:sz w:val="24"/>
          <w:szCs w:val="24"/>
          <w:u w:val="single"/>
        </w:rPr>
        <w:t>按计价规范</w:t>
      </w:r>
      <w:r>
        <w:rPr>
          <w:rFonts w:hint="eastAsia" w:ascii="宋体" w:hAnsi="宋体" w:eastAsia="宋体" w:cs="宋体"/>
          <w:kern w:val="0"/>
          <w:sz w:val="24"/>
          <w:szCs w:val="24"/>
          <w:u w:val="single"/>
        </w:rPr>
        <w:t>《建设工程工程量清单计价规范（GB50500－2013）》</w:t>
      </w:r>
      <w:r>
        <w:rPr>
          <w:rFonts w:hint="eastAsia" w:ascii="宋体" w:hAnsi="宋体" w:eastAsia="宋体" w:cs="宋体"/>
          <w:sz w:val="24"/>
          <w:szCs w:val="24"/>
          <w:u w:val="single"/>
        </w:rPr>
        <w:t>9.3.1及9.6.2条规定执行</w:t>
      </w:r>
      <w:r>
        <w:rPr>
          <w:rFonts w:hint="eastAsia" w:ascii="宋体" w:hAnsi="宋体" w:eastAsia="宋体" w:cs="宋体"/>
          <w:kern w:val="0"/>
          <w:sz w:val="24"/>
          <w:szCs w:val="24"/>
        </w:rPr>
        <w:t>。</w:t>
      </w:r>
    </w:p>
    <w:p>
      <w:pPr>
        <w:pStyle w:val="47"/>
        <w:tabs>
          <w:tab w:val="left" w:pos="6480"/>
        </w:tabs>
        <w:spacing w:line="420" w:lineRule="exact"/>
        <w:ind w:firstLine="480" w:firstLineChars="200"/>
        <w:rPr>
          <w:rFonts w:hint="eastAsia" w:ascii="宋体" w:hAnsi="宋体" w:eastAsia="宋体" w:cs="宋体"/>
          <w:color w:val="FF0000"/>
          <w:sz w:val="24"/>
          <w:szCs w:val="24"/>
          <w:u w:val="single"/>
        </w:rPr>
      </w:pPr>
      <w:r>
        <w:rPr>
          <w:rFonts w:hint="eastAsia" w:ascii="宋体" w:hAnsi="宋体" w:eastAsia="宋体" w:cs="宋体"/>
          <w:sz w:val="24"/>
          <w:szCs w:val="24"/>
        </w:rPr>
        <w:t>允许调整合同价格的工程量偏差范围及其调整办法：</w:t>
      </w:r>
      <w:r>
        <w:rPr>
          <w:rFonts w:hint="eastAsia" w:ascii="宋体" w:hAnsi="宋体" w:eastAsia="宋体" w:cs="宋体"/>
          <w:sz w:val="24"/>
          <w:szCs w:val="24"/>
          <w:u w:val="single"/>
        </w:rPr>
        <w:t>有定额的套定额，并乘以下浮系数（建筑安装工程费的中标价/该部分最高投标限价）计算，其中材料价格按施工期间的《河池市建设工程造价信息》相应价格信息进行计算；《河池市建设工程造价信息》没有相应价格信息的按《南宁市建设工程造价信息》、《柳州市建设工程造价信息》、《南方电网工程主要材料设备信息价》中较低价格进行计算；《南宁市建设工程造价信息》、《柳州市建设工程造价信息》、《南方电网工程主要材料设备信息价》没有相应价格信息的参照广西壮族自治区其他城市建设工程造价信息中最低价格进行计算；上述均无相应材料价格的通过市场询价确认价格。无定额可套的，根据市场价格协商确定综合价格；</w:t>
      </w:r>
      <w:r>
        <w:rPr>
          <w:rFonts w:hint="eastAsia" w:ascii="宋体" w:hAnsi="宋体" w:eastAsia="宋体" w:cs="宋体"/>
          <w:color w:val="FF0000"/>
          <w:sz w:val="24"/>
          <w:szCs w:val="24"/>
          <w:u w:val="single"/>
        </w:rPr>
        <w:t>对于国有资产的项目，新增项目的单价必须经同级财政评审中心审定。</w:t>
      </w:r>
    </w:p>
    <w:p>
      <w:pPr>
        <w:pStyle w:val="47"/>
        <w:tabs>
          <w:tab w:val="left" w:pos="6480"/>
        </w:tabs>
        <w:spacing w:line="420" w:lineRule="exact"/>
        <w:ind w:firstLine="480" w:firstLineChars="200"/>
        <w:rPr>
          <w:rFonts w:hint="eastAsia" w:ascii="宋体" w:hAnsi="宋体" w:eastAsia="宋体" w:cs="宋体"/>
          <w:color w:val="FF0000"/>
          <w:sz w:val="24"/>
          <w:szCs w:val="24"/>
          <w:u w:val="single"/>
        </w:rPr>
      </w:pPr>
      <w:r>
        <w:rPr>
          <w:rFonts w:hint="eastAsia" w:ascii="宋体" w:hAnsi="宋体" w:eastAsia="宋体" w:cs="宋体"/>
          <w:color w:val="FF0000"/>
          <w:sz w:val="24"/>
          <w:szCs w:val="24"/>
          <w:u w:val="single"/>
          <w:lang w:eastAsia="zh-CN"/>
        </w:rPr>
        <w:t>计价依据以下定额、文件及规范：</w:t>
      </w:r>
      <w:r>
        <w:rPr>
          <w:rFonts w:hint="eastAsia" w:ascii="宋体" w:hAnsi="宋体" w:eastAsia="宋体" w:cs="宋体"/>
          <w:color w:val="FF0000"/>
          <w:sz w:val="24"/>
          <w:szCs w:val="24"/>
          <w:u w:val="single"/>
        </w:rPr>
        <w:t>2011年《广西壮族自治区建筑工程拆除消耗量定额》、2013年《广西壮族自治区建筑装饰装修工程消耗量定额》、2014年版《广西壮族自治区市政工程消耗量定额》、2015年《广西壮族自治区安装工程消耗量定额》及其配套费用定额、《关于建筑业实施营业税改征增值税后广西壮族自治区建设工程计价依据调整的通知》（桂建标〔2016〕17号）、《广西壮族自治区建设工程费用定额》（2016 年版）及广西区内最新发布的关于上述文件的调整文件的有关规定及现行有关配套费率、人工和机械台班费用调整规定。</w:t>
      </w:r>
    </w:p>
    <w:p>
      <w:pPr>
        <w:pStyle w:val="46"/>
        <w:tabs>
          <w:tab w:val="left" w:pos="6480"/>
        </w:tabs>
        <w:spacing w:before="0" w:after="0"/>
        <w:rPr>
          <w:rFonts w:hint="eastAsia" w:ascii="宋体" w:hAnsi="宋体" w:eastAsia="宋体" w:cs="宋体"/>
          <w:sz w:val="24"/>
          <w:szCs w:val="24"/>
        </w:rPr>
      </w:pPr>
      <w:bookmarkStart w:id="129" w:name="_Toc11381"/>
      <w:bookmarkStart w:id="130" w:name="_Toc508111540"/>
      <w:bookmarkStart w:id="131" w:name="_Toc466476781"/>
      <w:bookmarkStart w:id="132" w:name="_Toc31662"/>
      <w:r>
        <w:rPr>
          <w:rFonts w:hint="eastAsia" w:ascii="宋体" w:hAnsi="宋体" w:eastAsia="宋体" w:cs="宋体"/>
          <w:sz w:val="24"/>
          <w:szCs w:val="24"/>
        </w:rPr>
        <w:t>2</w:t>
      </w:r>
      <w:bookmarkStart w:id="133" w:name="_Toc296944496"/>
      <w:bookmarkStart w:id="134" w:name="_Toc297120457"/>
      <w:bookmarkStart w:id="135" w:name="_Toc296347156"/>
      <w:bookmarkStart w:id="136" w:name="_Toc292559362"/>
      <w:bookmarkStart w:id="137" w:name="_Toc296890985"/>
      <w:bookmarkStart w:id="138" w:name="_Toc297048343"/>
      <w:bookmarkStart w:id="139" w:name="_Toc296891197"/>
      <w:bookmarkStart w:id="140" w:name="_Toc296503157"/>
      <w:bookmarkStart w:id="141" w:name="_Toc292559867"/>
      <w:bookmarkStart w:id="142" w:name="_Toc296346658"/>
      <w:r>
        <w:rPr>
          <w:rFonts w:hint="eastAsia" w:ascii="宋体" w:hAnsi="宋体" w:eastAsia="宋体" w:cs="宋体"/>
          <w:sz w:val="24"/>
          <w:szCs w:val="24"/>
        </w:rPr>
        <w:t>. 发包人</w:t>
      </w:r>
      <w:bookmarkEnd w:id="125"/>
      <w:bookmarkEnd w:id="126"/>
      <w:bookmarkEnd w:id="127"/>
      <w:bookmarkEnd w:id="128"/>
      <w:bookmarkEnd w:id="129"/>
      <w:bookmarkEnd w:id="130"/>
      <w:bookmarkEnd w:id="131"/>
      <w:bookmarkEnd w:id="132"/>
    </w:p>
    <w:bookmarkEnd w:id="133"/>
    <w:bookmarkEnd w:id="134"/>
    <w:bookmarkEnd w:id="135"/>
    <w:bookmarkEnd w:id="136"/>
    <w:bookmarkEnd w:id="137"/>
    <w:bookmarkEnd w:id="138"/>
    <w:bookmarkEnd w:id="139"/>
    <w:bookmarkEnd w:id="140"/>
    <w:bookmarkEnd w:id="141"/>
    <w:bookmarkEnd w:id="142"/>
    <w:p>
      <w:pPr>
        <w:pStyle w:val="48"/>
        <w:tabs>
          <w:tab w:val="left" w:pos="6480"/>
        </w:tabs>
        <w:spacing w:before="0" w:after="0"/>
        <w:rPr>
          <w:rFonts w:hint="eastAsia" w:ascii="宋体" w:hAnsi="宋体" w:eastAsia="宋体" w:cs="宋体"/>
          <w:sz w:val="24"/>
          <w:szCs w:val="24"/>
        </w:rPr>
      </w:pPr>
      <w:bookmarkStart w:id="143" w:name="_Toc11767"/>
      <w:bookmarkStart w:id="144" w:name="_Toc373227703"/>
      <w:bookmarkStart w:id="145" w:name="_Toc466476782"/>
      <w:bookmarkStart w:id="146" w:name="_Toc508111541"/>
      <w:bookmarkStart w:id="147" w:name="_Toc373478350"/>
      <w:bookmarkStart w:id="148" w:name="_Toc389065269"/>
      <w:bookmarkStart w:id="149" w:name="_Toc3995"/>
      <w:r>
        <w:rPr>
          <w:rFonts w:hint="eastAsia" w:ascii="宋体" w:hAnsi="宋体" w:eastAsia="宋体" w:cs="宋体"/>
          <w:sz w:val="24"/>
          <w:szCs w:val="24"/>
        </w:rPr>
        <w:t>2.2 发包人代表</w:t>
      </w:r>
      <w:bookmarkEnd w:id="143"/>
      <w:bookmarkEnd w:id="144"/>
      <w:bookmarkEnd w:id="145"/>
      <w:bookmarkEnd w:id="146"/>
      <w:bookmarkEnd w:id="147"/>
      <w:bookmarkEnd w:id="148"/>
      <w:bookmarkEnd w:id="149"/>
    </w:p>
    <w:p>
      <w:pPr>
        <w:pStyle w:val="47"/>
        <w:tabs>
          <w:tab w:val="left" w:pos="6480"/>
        </w:tabs>
        <w:spacing w:line="420" w:lineRule="exact"/>
        <w:ind w:firstLine="480" w:firstLineChars="200"/>
        <w:rPr>
          <w:rFonts w:hint="eastAsia" w:ascii="宋体" w:hAnsi="宋体" w:eastAsia="宋体" w:cs="宋体"/>
          <w:sz w:val="24"/>
          <w:szCs w:val="24"/>
        </w:rPr>
      </w:pPr>
      <w:bookmarkStart w:id="150" w:name="_Toc373478351"/>
      <w:bookmarkStart w:id="151" w:name="_Toc389065270"/>
      <w:bookmarkStart w:id="152" w:name="_Toc373227704"/>
      <w:r>
        <w:rPr>
          <w:rFonts w:hint="eastAsia" w:ascii="宋体" w:hAnsi="宋体" w:eastAsia="宋体" w:cs="宋体"/>
          <w:sz w:val="24"/>
          <w:szCs w:val="24"/>
        </w:rPr>
        <w:t>姓    名：</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身份证号：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职    务：</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r>
        <w:rPr>
          <w:rFonts w:hint="eastAsia" w:ascii="宋体" w:hAnsi="宋体" w:eastAsia="宋体" w:cs="宋体"/>
          <w:sz w:val="24"/>
          <w:szCs w:val="24"/>
          <w:u w:val="single"/>
        </w:rPr>
        <w:t>河池市金城江区金碧路25号</w:t>
      </w:r>
    </w:p>
    <w:p>
      <w:pPr>
        <w:pStyle w:val="47"/>
        <w:pageBreakBefore w:val="0"/>
        <w:widowControl w:val="0"/>
        <w:tabs>
          <w:tab w:val="left" w:pos="6480"/>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发包人对发包人代表的授权范围如下：</w:t>
      </w:r>
      <w:r>
        <w:rPr>
          <w:rFonts w:hint="eastAsia" w:ascii="宋体" w:hAnsi="宋体" w:eastAsia="宋体" w:cs="宋体"/>
          <w:bCs/>
          <w:sz w:val="24"/>
          <w:szCs w:val="24"/>
          <w:u w:val="single"/>
        </w:rPr>
        <w:t>在施工过程中，监督工程施工质量，负责工地现场的安全管理、进度管理、成本管理并代表发包人签署与此相关的文件。按本合同及时向承包人提供所需的指令、批准、图纸，协调施工现场各方面的关系，协调工程质量、进度和安全文明施工中存在的问题，解决有关设计和技术签证，办理、签认现场经济技术签证，审核工程进度报表及履行合同所约定的其他义务</w:t>
      </w:r>
      <w:r>
        <w:rPr>
          <w:rFonts w:hint="eastAsia" w:ascii="宋体" w:hAnsi="宋体" w:eastAsia="宋体" w:cs="宋体"/>
          <w:sz w:val="24"/>
          <w:szCs w:val="24"/>
        </w:rPr>
        <w:t>。</w:t>
      </w:r>
      <w:bookmarkStart w:id="153" w:name="_Toc466476783"/>
      <w:bookmarkStart w:id="154" w:name="_Toc24410"/>
      <w:bookmarkStart w:id="155" w:name="_Toc508111542"/>
      <w:bookmarkStart w:id="156" w:name="_Toc19426"/>
    </w:p>
    <w:p>
      <w:pPr>
        <w:pStyle w:val="48"/>
        <w:pageBreakBefore w:val="0"/>
        <w:widowControl w:val="0"/>
        <w:tabs>
          <w:tab w:val="left" w:pos="6480"/>
        </w:tabs>
        <w:kinsoku/>
        <w:wordWrap/>
        <w:overflowPunct/>
        <w:topLinePunct w:val="0"/>
        <w:autoSpaceDE/>
        <w:autoSpaceDN/>
        <w:bidi w:val="0"/>
        <w:adjustRightInd/>
        <w:snapToGrid/>
        <w:spacing w:before="0" w:after="0" w:line="420" w:lineRule="exact"/>
        <w:textAlignment w:val="auto"/>
        <w:rPr>
          <w:rFonts w:hint="eastAsia" w:ascii="宋体" w:hAnsi="宋体" w:eastAsia="宋体" w:cs="宋体"/>
          <w:sz w:val="24"/>
          <w:szCs w:val="24"/>
        </w:rPr>
      </w:pPr>
      <w:r>
        <w:rPr>
          <w:rFonts w:hint="eastAsia" w:ascii="宋体" w:hAnsi="宋体" w:eastAsia="宋体" w:cs="宋体"/>
          <w:sz w:val="24"/>
          <w:szCs w:val="24"/>
        </w:rPr>
        <w:t>2.4 施工现场、施工条件和基础资料的提供</w:t>
      </w:r>
      <w:bookmarkEnd w:id="150"/>
      <w:bookmarkEnd w:id="151"/>
      <w:bookmarkEnd w:id="152"/>
      <w:bookmarkEnd w:id="153"/>
      <w:bookmarkEnd w:id="154"/>
      <w:bookmarkEnd w:id="155"/>
      <w:bookmarkEnd w:id="15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57" w:name="_Toc30322"/>
      <w:bookmarkStart w:id="158" w:name="_Toc22269"/>
      <w:bookmarkStart w:id="159" w:name="_Toc466476784"/>
      <w:bookmarkStart w:id="160" w:name="_Toc389065271"/>
      <w:bookmarkStart w:id="161" w:name="_Toc373478352"/>
      <w:bookmarkStart w:id="162" w:name="_Toc373227705"/>
      <w:r>
        <w:rPr>
          <w:rFonts w:hint="eastAsia" w:ascii="宋体" w:hAnsi="宋体" w:eastAsia="宋体" w:cs="宋体"/>
          <w:sz w:val="24"/>
          <w:szCs w:val="24"/>
        </w:rPr>
        <w:t>2.4.1 提供施工现场</w:t>
      </w:r>
      <w:bookmarkEnd w:id="157"/>
      <w:bookmarkEnd w:id="158"/>
      <w:bookmarkEnd w:id="15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63" w:name="_Toc2141"/>
      <w:bookmarkStart w:id="164" w:name="_Toc15754"/>
      <w:bookmarkStart w:id="165" w:name="_Toc466476785"/>
      <w:r>
        <w:rPr>
          <w:rFonts w:hint="eastAsia" w:ascii="宋体" w:hAnsi="宋体" w:eastAsia="宋体" w:cs="宋体"/>
          <w:sz w:val="24"/>
          <w:szCs w:val="24"/>
        </w:rPr>
        <w:t>关于发包人移交施工现场的期限要求：</w:t>
      </w:r>
      <w:r>
        <w:rPr>
          <w:rFonts w:hint="eastAsia" w:ascii="宋体" w:hAnsi="宋体" w:eastAsia="宋体" w:cs="宋体"/>
          <w:sz w:val="24"/>
          <w:szCs w:val="24"/>
          <w:u w:val="single"/>
        </w:rPr>
        <w:t>于开工前七天，且使施工场地具备施工条件</w:t>
      </w:r>
      <w:r>
        <w:rPr>
          <w:rFonts w:hint="eastAsia" w:ascii="宋体" w:hAnsi="宋体" w:eastAsia="宋体" w:cs="宋体"/>
          <w:sz w:val="24"/>
          <w:szCs w:val="24"/>
        </w:rPr>
        <w:t>。</w:t>
      </w:r>
      <w:bookmarkEnd w:id="163"/>
      <w:bookmarkEnd w:id="164"/>
      <w:bookmarkEnd w:id="16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66" w:name="_Toc466476786"/>
      <w:bookmarkStart w:id="167" w:name="_Toc20087"/>
      <w:bookmarkStart w:id="168" w:name="_Toc3831"/>
      <w:r>
        <w:rPr>
          <w:rFonts w:hint="eastAsia" w:ascii="宋体" w:hAnsi="宋体" w:eastAsia="宋体" w:cs="宋体"/>
          <w:sz w:val="24"/>
          <w:szCs w:val="24"/>
        </w:rPr>
        <w:t>2.4.2 提供施工条件</w:t>
      </w:r>
      <w:bookmarkEnd w:id="166"/>
      <w:bookmarkEnd w:id="167"/>
      <w:bookmarkEnd w:id="1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69" w:name="_Toc17479"/>
      <w:bookmarkStart w:id="170" w:name="_Toc30058"/>
      <w:bookmarkStart w:id="171" w:name="_Toc466476787"/>
      <w:r>
        <w:rPr>
          <w:rFonts w:hint="eastAsia" w:ascii="宋体" w:hAnsi="宋体" w:eastAsia="宋体" w:cs="宋体"/>
          <w:sz w:val="24"/>
          <w:szCs w:val="24"/>
        </w:rPr>
        <w:t>关于发包人应负责提供施工所需要的条件，包括：（1）将施工所需用的水、电、电讯线路接至施工场地的时间、地点和供应要求：协调</w:t>
      </w:r>
      <w:r>
        <w:rPr>
          <w:rFonts w:hint="eastAsia" w:ascii="宋体" w:hAnsi="宋体" w:eastAsia="宋体" w:cs="宋体"/>
          <w:sz w:val="24"/>
          <w:szCs w:val="24"/>
          <w:u w:val="single"/>
        </w:rPr>
        <w:t>施工场地外部水电接入口给予承包人接至施工现场内，保证水电供应满足施工期间的需要。施工水电的使用费用由承包人承担。</w:t>
      </w:r>
      <w:bookmarkEnd w:id="169"/>
      <w:bookmarkEnd w:id="17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rPr>
      </w:pPr>
      <w:bookmarkStart w:id="172" w:name="_Toc5995"/>
      <w:bookmarkStart w:id="173" w:name="_Toc13326"/>
      <w:r>
        <w:rPr>
          <w:rFonts w:hint="eastAsia" w:ascii="宋体" w:hAnsi="宋体" w:eastAsia="宋体" w:cs="宋体"/>
          <w:sz w:val="24"/>
          <w:szCs w:val="24"/>
        </w:rPr>
        <w:t>（2）施工场地与公共道路的通道开通时间和要求</w:t>
      </w:r>
      <w:r>
        <w:rPr>
          <w:rFonts w:hint="eastAsia" w:ascii="宋体" w:hAnsi="宋体" w:eastAsia="宋体" w:cs="宋体"/>
          <w:sz w:val="24"/>
          <w:szCs w:val="24"/>
          <w:u w:val="single"/>
        </w:rPr>
        <w:t>：工程开工前七天开通，施工中出现非承包人原因的阻障，由承包人告知发包人，由发包人负责协调解决，满足施工运输的需要，保证施工期间的畅通。</w:t>
      </w:r>
      <w:bookmarkEnd w:id="172"/>
      <w:bookmarkEnd w:id="17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74" w:name="_Toc23444"/>
      <w:bookmarkStart w:id="175" w:name="_Toc6513"/>
      <w:r>
        <w:rPr>
          <w:rFonts w:hint="eastAsia" w:ascii="宋体" w:hAnsi="宋体" w:eastAsia="宋体" w:cs="宋体"/>
          <w:sz w:val="24"/>
          <w:szCs w:val="24"/>
        </w:rPr>
        <w:t>（3）工程地质和地下管线资料的提供时间：</w:t>
      </w:r>
      <w:r>
        <w:rPr>
          <w:rFonts w:hint="eastAsia" w:ascii="宋体" w:hAnsi="宋体" w:eastAsia="宋体" w:cs="宋体"/>
          <w:sz w:val="24"/>
          <w:szCs w:val="24"/>
          <w:u w:val="single"/>
        </w:rPr>
        <w:t>开工前7天，随施工图一起配套提供给承包人，并对资料的真实性、准确性负责</w:t>
      </w:r>
      <w:r>
        <w:rPr>
          <w:rFonts w:hint="eastAsia" w:ascii="宋体" w:hAnsi="宋体" w:eastAsia="宋体" w:cs="宋体"/>
          <w:sz w:val="24"/>
          <w:szCs w:val="24"/>
        </w:rPr>
        <w:t>。</w:t>
      </w:r>
      <w:bookmarkEnd w:id="174"/>
      <w:bookmarkEnd w:id="17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（4）由发包人办理的施工所需证件、批件的名称和完成时间：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76" w:name="_Toc5496"/>
      <w:bookmarkStart w:id="177" w:name="_Toc20064"/>
      <w:r>
        <w:rPr>
          <w:rFonts w:hint="eastAsia" w:ascii="宋体" w:hAnsi="宋体" w:eastAsia="宋体" w:cs="宋体"/>
          <w:sz w:val="24"/>
          <w:szCs w:val="24"/>
        </w:rPr>
        <w:t>（5）水准点与坐标控制点交验要求：</w:t>
      </w:r>
      <w:r>
        <w:rPr>
          <w:rFonts w:hint="eastAsia" w:ascii="宋体" w:hAnsi="宋体" w:eastAsia="宋体" w:cs="宋体"/>
          <w:sz w:val="24"/>
          <w:szCs w:val="24"/>
          <w:u w:val="single"/>
        </w:rPr>
        <w:t>开工前7天发包人以书面形式交给承包人，并通知承包人，双方在现场进行交验，同时做好交验记录。</w:t>
      </w:r>
      <w:bookmarkEnd w:id="176"/>
      <w:bookmarkEnd w:id="177"/>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u w:val="single"/>
          <w:lang w:val="en-US" w:eastAsia="zh-CN"/>
        </w:rPr>
      </w:pPr>
      <w:bookmarkStart w:id="178" w:name="_Toc32201"/>
      <w:bookmarkStart w:id="179" w:name="_Toc16085"/>
      <w:r>
        <w:rPr>
          <w:rFonts w:hint="eastAsia" w:ascii="宋体" w:hAnsi="宋体" w:eastAsia="宋体" w:cs="宋体"/>
          <w:sz w:val="24"/>
          <w:szCs w:val="24"/>
        </w:rPr>
        <w:t>（6）图纸会审和设计交底时间：</w:t>
      </w:r>
      <w:bookmarkEnd w:id="178"/>
      <w:bookmarkEnd w:id="179"/>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rPr>
      </w:pPr>
      <w:bookmarkStart w:id="180" w:name="_Toc18328"/>
      <w:bookmarkStart w:id="181" w:name="_Toc17430"/>
      <w:r>
        <w:rPr>
          <w:rFonts w:hint="eastAsia" w:ascii="宋体" w:hAnsi="宋体" w:eastAsia="宋体" w:cs="宋体"/>
          <w:sz w:val="24"/>
          <w:szCs w:val="24"/>
        </w:rPr>
        <w:t>（7）协调处理施工场地周围地下管线和邻近建筑物、构筑物（含文物保护建筑）、古树名木的保护工作：</w:t>
      </w:r>
      <w:r>
        <w:rPr>
          <w:rFonts w:hint="eastAsia" w:ascii="宋体" w:hAnsi="宋体" w:eastAsia="宋体" w:cs="宋体"/>
          <w:sz w:val="24"/>
          <w:szCs w:val="24"/>
          <w:u w:val="single"/>
        </w:rPr>
        <w:t>按通用条款执行。若因地下管线，障碍物影响造成的费用增加及施工损失，由承包人承担。</w:t>
      </w:r>
      <w:bookmarkEnd w:id="171"/>
      <w:bookmarkEnd w:id="180"/>
      <w:bookmarkEnd w:id="181"/>
    </w:p>
    <w:p>
      <w:pPr>
        <w:pStyle w:val="47"/>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（8）发包人委托承包人办理的工作：</w:t>
      </w:r>
      <w:r>
        <w:rPr>
          <w:rFonts w:hint="eastAsia" w:ascii="宋体" w:hAnsi="宋体" w:eastAsia="宋体" w:cs="宋体"/>
          <w:sz w:val="24"/>
          <w:szCs w:val="24"/>
          <w:u w:val="single"/>
        </w:rPr>
        <w:t>配合、协助办理项目施工所需相关手续，各付相关费用</w:t>
      </w:r>
      <w:r>
        <w:rPr>
          <w:rFonts w:hint="eastAsia" w:ascii="宋体" w:hAnsi="宋体" w:eastAsia="宋体" w:cs="宋体"/>
          <w:sz w:val="24"/>
          <w:szCs w:val="24"/>
        </w:rPr>
        <w:t>。</w:t>
      </w:r>
    </w:p>
    <w:p>
      <w:pPr>
        <w:pStyle w:val="48"/>
        <w:pageBreakBefore w:val="0"/>
        <w:widowControl w:val="0"/>
        <w:tabs>
          <w:tab w:val="left" w:pos="6480"/>
        </w:tabs>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182" w:name="_Toc23065"/>
      <w:bookmarkStart w:id="183" w:name="_Toc508111543"/>
      <w:bookmarkStart w:id="184" w:name="_Toc466476788"/>
      <w:bookmarkStart w:id="185" w:name="_Toc23778"/>
      <w:r>
        <w:rPr>
          <w:rFonts w:hint="eastAsia" w:ascii="宋体" w:hAnsi="宋体" w:eastAsia="宋体" w:cs="宋体"/>
          <w:sz w:val="24"/>
          <w:szCs w:val="24"/>
        </w:rPr>
        <w:t>2.5 资金来源证明及支付担保</w:t>
      </w:r>
      <w:bookmarkEnd w:id="160"/>
      <w:bookmarkEnd w:id="161"/>
      <w:bookmarkEnd w:id="162"/>
      <w:bookmarkEnd w:id="182"/>
      <w:bookmarkEnd w:id="183"/>
      <w:bookmarkEnd w:id="184"/>
      <w:bookmarkEnd w:id="185"/>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发包人提供资金来源证明的期限要求：</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发包人是否提供支付担保：</w:t>
      </w:r>
      <w:r>
        <w:rPr>
          <w:rFonts w:hint="eastAsia" w:ascii="宋体" w:hAnsi="宋体" w:eastAsia="宋体" w:cs="宋体"/>
          <w:sz w:val="24"/>
          <w:szCs w:val="24"/>
          <w:u w:val="single"/>
        </w:rPr>
        <w:t xml:space="preserve">     否            </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发包人提供支付担保的形式：</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发包人提供的支付担保格式见合同附件2。</w:t>
      </w:r>
    </w:p>
    <w:p>
      <w:pPr>
        <w:pStyle w:val="46"/>
        <w:tabs>
          <w:tab w:val="left" w:pos="6480"/>
        </w:tabs>
        <w:spacing w:before="0" w:after="0"/>
        <w:rPr>
          <w:rFonts w:hint="eastAsia" w:ascii="宋体" w:hAnsi="宋体" w:eastAsia="宋体" w:cs="宋体"/>
          <w:sz w:val="24"/>
          <w:szCs w:val="24"/>
        </w:rPr>
      </w:pPr>
      <w:bookmarkStart w:id="186" w:name="_Toc466476789"/>
      <w:bookmarkStart w:id="187" w:name="_Toc389065272"/>
      <w:bookmarkStart w:id="188" w:name="_Toc351203635"/>
      <w:bookmarkStart w:id="189" w:name="_Toc10810"/>
      <w:bookmarkStart w:id="190" w:name="_Toc21378"/>
      <w:bookmarkStart w:id="191" w:name="_Toc373478353"/>
      <w:bookmarkStart w:id="192" w:name="_Toc508111544"/>
      <w:bookmarkStart w:id="193" w:name="_Toc373227706"/>
      <w:r>
        <w:rPr>
          <w:rFonts w:hint="eastAsia" w:ascii="宋体" w:hAnsi="宋体" w:eastAsia="宋体" w:cs="宋体"/>
          <w:sz w:val="24"/>
          <w:szCs w:val="24"/>
        </w:rPr>
        <w:t>3</w:t>
      </w:r>
      <w:bookmarkStart w:id="194" w:name="_Toc296347157"/>
      <w:bookmarkStart w:id="195" w:name="_Toc292559868"/>
      <w:bookmarkStart w:id="196" w:name="_Toc292559363"/>
      <w:bookmarkStart w:id="197" w:name="_Toc296944497"/>
      <w:bookmarkStart w:id="198" w:name="_Toc297048344"/>
      <w:bookmarkStart w:id="199" w:name="_Toc296503158"/>
      <w:bookmarkStart w:id="200" w:name="_Toc296346659"/>
      <w:bookmarkStart w:id="201" w:name="_Toc296891198"/>
      <w:bookmarkStart w:id="202" w:name="_Toc296890986"/>
      <w:bookmarkStart w:id="203" w:name="_Toc297120458"/>
      <w:r>
        <w:rPr>
          <w:rFonts w:hint="eastAsia" w:ascii="宋体" w:hAnsi="宋体" w:eastAsia="宋体" w:cs="宋体"/>
          <w:sz w:val="24"/>
          <w:szCs w:val="24"/>
        </w:rPr>
        <w:t>. 承包人</w:t>
      </w:r>
      <w:bookmarkEnd w:id="186"/>
      <w:bookmarkEnd w:id="187"/>
      <w:bookmarkEnd w:id="188"/>
      <w:bookmarkEnd w:id="189"/>
      <w:bookmarkEnd w:id="190"/>
      <w:bookmarkEnd w:id="191"/>
      <w:bookmarkEnd w:id="192"/>
      <w:bookmarkEnd w:id="193"/>
    </w:p>
    <w:bookmarkEnd w:id="194"/>
    <w:bookmarkEnd w:id="195"/>
    <w:bookmarkEnd w:id="196"/>
    <w:bookmarkEnd w:id="197"/>
    <w:bookmarkEnd w:id="198"/>
    <w:bookmarkEnd w:id="199"/>
    <w:bookmarkEnd w:id="200"/>
    <w:bookmarkEnd w:id="201"/>
    <w:bookmarkEnd w:id="202"/>
    <w:bookmarkEnd w:id="203"/>
    <w:p>
      <w:pPr>
        <w:pStyle w:val="48"/>
        <w:tabs>
          <w:tab w:val="left" w:pos="6480"/>
        </w:tabs>
        <w:spacing w:before="0" w:after="0"/>
        <w:rPr>
          <w:rFonts w:hint="eastAsia" w:ascii="宋体" w:hAnsi="宋体" w:eastAsia="宋体" w:cs="宋体"/>
          <w:sz w:val="24"/>
          <w:szCs w:val="24"/>
        </w:rPr>
      </w:pPr>
      <w:bookmarkStart w:id="204" w:name="_Toc508111545"/>
      <w:bookmarkStart w:id="205" w:name="_Toc389065273"/>
      <w:bookmarkStart w:id="206" w:name="_Toc373227707"/>
      <w:bookmarkStart w:id="207" w:name="_Toc466476790"/>
      <w:bookmarkStart w:id="208" w:name="_Toc15495"/>
      <w:bookmarkStart w:id="209" w:name="_Toc23709"/>
      <w:bookmarkStart w:id="210" w:name="_Toc373478354"/>
      <w:r>
        <w:rPr>
          <w:rFonts w:hint="eastAsia" w:ascii="宋体" w:hAnsi="宋体" w:eastAsia="宋体" w:cs="宋体"/>
          <w:sz w:val="24"/>
          <w:szCs w:val="24"/>
        </w:rPr>
        <w:t>3.1 承包人的一般义务</w:t>
      </w:r>
      <w:bookmarkEnd w:id="204"/>
      <w:bookmarkEnd w:id="205"/>
      <w:bookmarkEnd w:id="206"/>
      <w:bookmarkEnd w:id="207"/>
      <w:bookmarkEnd w:id="208"/>
      <w:bookmarkEnd w:id="209"/>
      <w:bookmarkEnd w:id="210"/>
    </w:p>
    <w:p>
      <w:pPr>
        <w:pStyle w:val="47"/>
        <w:tabs>
          <w:tab w:val="left" w:pos="6480"/>
        </w:tabs>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kern w:val="0"/>
          <w:sz w:val="24"/>
          <w:szCs w:val="24"/>
        </w:rPr>
        <w:t>（9）</w:t>
      </w:r>
      <w:r>
        <w:rPr>
          <w:rFonts w:hint="eastAsia" w:ascii="宋体" w:hAnsi="宋体" w:eastAsia="宋体" w:cs="宋体"/>
          <w:sz w:val="24"/>
          <w:szCs w:val="24"/>
        </w:rPr>
        <w:t>承包人提交的竣工资料的内容：</w:t>
      </w:r>
      <w:r>
        <w:rPr>
          <w:rFonts w:hint="eastAsia" w:ascii="宋体" w:hAnsi="宋体" w:eastAsia="宋体" w:cs="宋体"/>
          <w:sz w:val="24"/>
          <w:szCs w:val="24"/>
          <w:u w:val="single"/>
        </w:rPr>
        <w:t>按国家和工程所在地建设行政管理部门竣工验收规范要求，提交相关竣工资料</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承包人需要提交的竣工资料套数：</w:t>
      </w:r>
      <w:r>
        <w:rPr>
          <w:rFonts w:hint="eastAsia" w:ascii="宋体" w:hAnsi="宋体" w:eastAsia="宋体" w:cs="宋体"/>
          <w:kern w:val="0"/>
          <w:sz w:val="24"/>
          <w:szCs w:val="24"/>
          <w:u w:val="single"/>
        </w:rPr>
        <w:t>陆套（纸质及电子文档）</w:t>
      </w:r>
      <w:r>
        <w:rPr>
          <w:rFonts w:hint="eastAsia" w:ascii="宋体" w:hAnsi="宋体" w:eastAsia="宋体" w:cs="宋体"/>
          <w:sz w:val="24"/>
          <w:szCs w:val="24"/>
        </w:rPr>
        <w:t>。</w:t>
      </w:r>
    </w:p>
    <w:p>
      <w:pPr>
        <w:pStyle w:val="47"/>
        <w:spacing w:line="360" w:lineRule="auto"/>
        <w:ind w:left="424" w:leftChars="202"/>
        <w:jc w:val="left"/>
        <w:rPr>
          <w:rFonts w:hint="eastAsia" w:ascii="宋体" w:hAnsi="宋体" w:eastAsia="宋体" w:cs="宋体"/>
          <w:sz w:val="24"/>
          <w:szCs w:val="24"/>
        </w:rPr>
      </w:pPr>
      <w:r>
        <w:rPr>
          <w:rFonts w:hint="eastAsia" w:ascii="宋体" w:hAnsi="宋体" w:eastAsia="宋体" w:cs="宋体"/>
          <w:sz w:val="24"/>
          <w:szCs w:val="24"/>
        </w:rPr>
        <w:t>承包人提交的竣工资料的费用承担：</w:t>
      </w:r>
      <w:r>
        <w:rPr>
          <w:rFonts w:hint="eastAsia" w:ascii="宋体" w:hAnsi="宋体" w:eastAsia="宋体" w:cs="宋体"/>
          <w:sz w:val="24"/>
          <w:szCs w:val="24"/>
          <w:u w:val="single"/>
        </w:rPr>
        <w:t>由承包人负责</w:t>
      </w:r>
      <w:r>
        <w:rPr>
          <w:rFonts w:hint="eastAsia" w:ascii="宋体" w:hAnsi="宋体" w:eastAsia="宋体" w:cs="宋体"/>
          <w:sz w:val="24"/>
          <w:szCs w:val="24"/>
        </w:rPr>
        <w:t>。</w:t>
      </w:r>
    </w:p>
    <w:p>
      <w:pPr>
        <w:pStyle w:val="47"/>
        <w:spacing w:line="360" w:lineRule="auto"/>
        <w:ind w:left="424" w:leftChars="202"/>
        <w:jc w:val="left"/>
        <w:rPr>
          <w:rFonts w:hint="eastAsia" w:ascii="宋体" w:hAnsi="宋体" w:eastAsia="宋体" w:cs="宋体"/>
          <w:sz w:val="24"/>
          <w:szCs w:val="24"/>
        </w:rPr>
      </w:pPr>
      <w:r>
        <w:rPr>
          <w:rFonts w:hint="eastAsia" w:ascii="宋体" w:hAnsi="宋体" w:eastAsia="宋体" w:cs="宋体"/>
          <w:sz w:val="24"/>
          <w:szCs w:val="24"/>
        </w:rPr>
        <w:t>承包人提交的竣工资料移交时间：</w:t>
      </w:r>
      <w:r>
        <w:rPr>
          <w:rFonts w:hint="eastAsia" w:ascii="宋体" w:hAnsi="宋体" w:eastAsia="宋体" w:cs="宋体"/>
          <w:sz w:val="24"/>
          <w:szCs w:val="24"/>
          <w:u w:val="single"/>
        </w:rPr>
        <w:t>竣工验收后15天</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承包人提交的竣工资料形式要求：</w:t>
      </w:r>
      <w:r>
        <w:rPr>
          <w:rFonts w:hint="eastAsia" w:ascii="宋体" w:hAnsi="宋体" w:eastAsia="宋体" w:cs="宋体"/>
          <w:sz w:val="24"/>
          <w:szCs w:val="24"/>
          <w:u w:val="single"/>
        </w:rPr>
        <w:t>书面材料</w:t>
      </w:r>
      <w:r>
        <w:rPr>
          <w:rFonts w:hint="eastAsia" w:ascii="宋体" w:hAnsi="宋体" w:eastAsia="宋体" w:cs="宋体"/>
          <w:sz w:val="24"/>
          <w:szCs w:val="24"/>
        </w:rPr>
        <w:t>。</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（10）承包人应履行的其他义务：</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u w:val="single"/>
        </w:rPr>
        <w:t>承包人应负责提供完成合同工作所需的劳务、材料、施工设备、工程设备和其他物品，并按合同约定负责临时设施的设计、建造、运行、维护、管理和拆除</w:t>
      </w:r>
      <w:r>
        <w:rPr>
          <w:rFonts w:hint="eastAsia" w:ascii="宋体" w:hAnsi="宋体" w:eastAsia="宋体" w:cs="宋体"/>
          <w:kern w:val="0"/>
          <w:sz w:val="24"/>
          <w:szCs w:val="24"/>
        </w:rPr>
        <w:t>。</w:t>
      </w:r>
    </w:p>
    <w:p>
      <w:pPr>
        <w:pStyle w:val="48"/>
        <w:tabs>
          <w:tab w:val="left" w:pos="6480"/>
        </w:tabs>
        <w:spacing w:before="0" w:after="0"/>
        <w:rPr>
          <w:rFonts w:hint="eastAsia" w:ascii="宋体" w:hAnsi="宋体" w:eastAsia="宋体" w:cs="宋体"/>
          <w:sz w:val="24"/>
          <w:szCs w:val="24"/>
        </w:rPr>
      </w:pPr>
      <w:bookmarkStart w:id="211" w:name="_Toc466476791"/>
      <w:bookmarkStart w:id="212" w:name="_Toc10998"/>
      <w:bookmarkStart w:id="213" w:name="_Toc373478355"/>
      <w:bookmarkStart w:id="214" w:name="_Toc28685"/>
      <w:bookmarkStart w:id="215" w:name="_Toc373227708"/>
      <w:bookmarkStart w:id="216" w:name="_Toc389065274"/>
      <w:bookmarkStart w:id="217" w:name="_Toc508111546"/>
      <w:r>
        <w:rPr>
          <w:rFonts w:hint="eastAsia" w:ascii="宋体" w:hAnsi="宋体" w:eastAsia="宋体" w:cs="宋体"/>
          <w:sz w:val="24"/>
          <w:szCs w:val="24"/>
        </w:rPr>
        <w:t>3.2 项目经理</w:t>
      </w:r>
      <w:bookmarkEnd w:id="211"/>
      <w:bookmarkEnd w:id="212"/>
      <w:bookmarkEnd w:id="213"/>
      <w:bookmarkEnd w:id="214"/>
      <w:bookmarkEnd w:id="215"/>
      <w:bookmarkEnd w:id="216"/>
      <w:bookmarkEnd w:id="217"/>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 xml:space="preserve">3.2.1 </w:t>
      </w:r>
      <w:r>
        <w:rPr>
          <w:rFonts w:hint="eastAsia" w:ascii="宋体" w:hAnsi="宋体" w:eastAsia="宋体" w:cs="宋体"/>
          <w:sz w:val="24"/>
          <w:szCs w:val="24"/>
        </w:rPr>
        <w:t>项目经理：</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姓    名：</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身份证号：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建造师执业资格等级：</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建造师注册证书号：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建造师执业印章号：</w:t>
      </w:r>
      <w:r>
        <w:rPr>
          <w:rFonts w:hint="eastAsia" w:ascii="宋体" w:hAnsi="宋体" w:cs="宋体"/>
          <w:sz w:val="24"/>
          <w:szCs w:val="24"/>
          <w:u w:val="single"/>
          <w:lang w:val="en-US" w:eastAsia="zh-CN"/>
        </w:rPr>
        <w:t xml:space="preserve">  /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安全生产考核合格证书号：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广西建筑市场诚信卡卡号：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r>
        <w:rPr>
          <w:rFonts w:hint="eastAsia" w:ascii="宋体" w:hAnsi="宋体" w:eastAsia="宋体" w:cs="宋体"/>
          <w:sz w:val="24"/>
          <w:szCs w:val="24"/>
          <w:u w:val="single"/>
        </w:rPr>
        <w:t>/</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承包人对项目经理的授权范围如下：</w:t>
      </w:r>
      <w:r>
        <w:rPr>
          <w:rFonts w:hint="eastAsia" w:ascii="宋体" w:hAnsi="宋体" w:eastAsia="宋体" w:cs="宋体"/>
          <w:sz w:val="24"/>
          <w:szCs w:val="24"/>
          <w:u w:val="single"/>
        </w:rPr>
        <w:t>实行项目经理责任制，负责项目的施工组织与管理。项目经理仅限于本工程的现场施工管理，但未经承包人盖章同意，不得以承包人名义向外采购材料设备、租用建筑周转材料</w:t>
      </w:r>
      <w:r>
        <w:rPr>
          <w:rFonts w:hint="eastAsia" w:ascii="宋体" w:hAnsi="宋体" w:eastAsia="宋体" w:cs="宋体"/>
          <w:kern w:val="0"/>
          <w:sz w:val="24"/>
          <w:szCs w:val="24"/>
          <w:u w:val="single"/>
        </w:rPr>
        <w:t>、签订债权债务转移书、签订还款承诺书、</w:t>
      </w:r>
      <w:r>
        <w:rPr>
          <w:rFonts w:hint="eastAsia" w:ascii="宋体" w:hAnsi="宋体" w:eastAsia="宋体" w:cs="宋体"/>
          <w:sz w:val="24"/>
          <w:szCs w:val="24"/>
          <w:u w:val="single"/>
        </w:rPr>
        <w:t>雇佣劳动力、签订分包合同等从事一切为承包人设立义务或责任的行为</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关于项目经理每月在施工现场的时间要求：</w:t>
      </w:r>
      <w:r>
        <w:rPr>
          <w:rFonts w:hint="eastAsia" w:ascii="宋体" w:hAnsi="宋体" w:eastAsia="宋体" w:cs="宋体"/>
          <w:sz w:val="24"/>
          <w:szCs w:val="24"/>
          <w:u w:val="single"/>
        </w:rPr>
        <w:t>项目经理及项目技术负责人每个月在工地现场工作时间不得低于20天／每人</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承包人未提交劳动合同，以及没有为项目经理缴纳社会保险证明的违约责任：</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项目经理未经批准，擅自离开施工现场的违约责任：</w:t>
      </w:r>
      <w:r>
        <w:rPr>
          <w:rFonts w:hint="eastAsia" w:ascii="宋体" w:hAnsi="宋体" w:eastAsia="宋体" w:cs="宋体"/>
          <w:sz w:val="24"/>
          <w:szCs w:val="24"/>
          <w:u w:val="single"/>
        </w:rPr>
        <w:t>项目经理每月在岗带班时间不得少于当月施工时间的80%。未经发包人同意或正当理由，项目经理每月在岗带班时间少于当月施工时间80%的，少在岗带班一天，发包人有权处违约金1000元/日（人民币）</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3.2.3 承包人擅自更换项目经理的违约责任：</w:t>
      </w:r>
      <w:r>
        <w:rPr>
          <w:rFonts w:hint="eastAsia" w:ascii="宋体" w:hAnsi="宋体" w:eastAsia="宋体" w:cs="宋体"/>
          <w:sz w:val="24"/>
          <w:szCs w:val="24"/>
          <w:u w:val="single"/>
        </w:rPr>
        <w:t>承包人项目经理必须与承包人投标时所承诺的人员一致，并在开工日期前到任。在监理人向承包人颁发竣工验收合格通知书前，项目经理不得同时兼任其他任何项目的项目经理</w:t>
      </w:r>
      <w:r>
        <w:rPr>
          <w:rFonts w:hint="eastAsia" w:ascii="宋体" w:hAnsi="宋体" w:eastAsia="宋体" w:cs="宋体"/>
          <w:kern w:val="0"/>
          <w:sz w:val="24"/>
          <w:szCs w:val="24"/>
          <w:u w:val="single"/>
        </w:rPr>
        <w:t>（符合桂建管</w:t>
      </w:r>
      <w:r>
        <w:rPr>
          <w:rFonts w:hint="eastAsia" w:ascii="宋体" w:hAnsi="宋体" w:eastAsia="宋体" w:cs="宋体"/>
          <w:sz w:val="24"/>
          <w:szCs w:val="24"/>
          <w:u w:val="single"/>
        </w:rPr>
        <w:t>﹝2013﹞</w:t>
      </w:r>
      <w:r>
        <w:rPr>
          <w:rFonts w:hint="eastAsia" w:ascii="宋体" w:hAnsi="宋体" w:eastAsia="宋体" w:cs="宋体"/>
          <w:kern w:val="0"/>
          <w:sz w:val="24"/>
          <w:szCs w:val="24"/>
          <w:u w:val="single"/>
        </w:rPr>
        <w:t>17号和</w:t>
      </w:r>
      <w:r>
        <w:rPr>
          <w:rFonts w:hint="eastAsia" w:ascii="宋体" w:hAnsi="宋体" w:eastAsia="宋体" w:cs="宋体"/>
          <w:sz w:val="24"/>
          <w:szCs w:val="24"/>
          <w:u w:val="single"/>
        </w:rPr>
        <w:t>桂建管﹝2014﹞25号</w:t>
      </w:r>
      <w:r>
        <w:rPr>
          <w:rFonts w:hint="eastAsia" w:ascii="宋体" w:hAnsi="宋体" w:eastAsia="宋体" w:cs="宋体"/>
          <w:kern w:val="0"/>
          <w:sz w:val="24"/>
          <w:szCs w:val="24"/>
          <w:u w:val="single"/>
        </w:rPr>
        <w:t>文除外）</w:t>
      </w:r>
      <w:r>
        <w:rPr>
          <w:rFonts w:hint="eastAsia" w:ascii="宋体" w:hAnsi="宋体" w:eastAsia="宋体" w:cs="宋体"/>
          <w:sz w:val="24"/>
          <w:szCs w:val="24"/>
          <w:u w:val="single"/>
        </w:rPr>
        <w:t>。未经发包人书面同意，承包人擅自更换项目经理的视为违约，由建设行政主管部门发出《工程质量安全隐患停工整改通知书》，违约金处10000元/人•次（人民币）</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3.2.4 承包人无正当理由拒绝更换项目经理的违约责任：</w:t>
      </w:r>
      <w:r>
        <w:rPr>
          <w:rFonts w:hint="eastAsia" w:ascii="宋体" w:hAnsi="宋体" w:eastAsia="宋体" w:cs="宋体"/>
          <w:sz w:val="24"/>
          <w:szCs w:val="24"/>
          <w:u w:val="single"/>
        </w:rPr>
        <w:t>因承包人项目经理不称职，发包人要求调换而未及时调换的，视为承包人违约，必须向发包人交纳违约金1000元/人•次（人民币）</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218" w:name="_Toc373227709"/>
      <w:bookmarkStart w:id="219" w:name="_Toc389065275"/>
      <w:bookmarkStart w:id="220" w:name="_Toc466476792"/>
      <w:bookmarkStart w:id="221" w:name="_Toc508111547"/>
      <w:bookmarkStart w:id="222" w:name="_Toc15654"/>
      <w:bookmarkStart w:id="223" w:name="_Toc373478356"/>
      <w:bookmarkStart w:id="224" w:name="_Toc29345"/>
      <w:r>
        <w:rPr>
          <w:rFonts w:hint="eastAsia" w:ascii="宋体" w:hAnsi="宋体" w:eastAsia="宋体" w:cs="宋体"/>
          <w:sz w:val="24"/>
          <w:szCs w:val="24"/>
        </w:rPr>
        <w:t>3.3 承包人人员</w:t>
      </w:r>
      <w:bookmarkEnd w:id="218"/>
      <w:bookmarkEnd w:id="219"/>
      <w:bookmarkEnd w:id="220"/>
      <w:bookmarkEnd w:id="221"/>
      <w:bookmarkEnd w:id="222"/>
      <w:bookmarkEnd w:id="223"/>
      <w:bookmarkEnd w:id="224"/>
    </w:p>
    <w:p>
      <w:pPr>
        <w:pStyle w:val="47"/>
        <w:spacing w:line="360" w:lineRule="auto"/>
        <w:ind w:firstLine="480" w:firstLineChars="200"/>
        <w:rPr>
          <w:rFonts w:hint="eastAsia" w:ascii="宋体" w:hAnsi="宋体" w:eastAsia="宋体" w:cs="宋体"/>
          <w:sz w:val="24"/>
          <w:szCs w:val="24"/>
        </w:rPr>
      </w:pPr>
      <w:bookmarkStart w:id="225" w:name="_Toc373227711"/>
      <w:bookmarkStart w:id="226" w:name="_Toc373478358"/>
      <w:bookmarkStart w:id="227" w:name="_Toc466476793"/>
      <w:bookmarkStart w:id="228" w:name="_Toc389065277"/>
      <w:r>
        <w:rPr>
          <w:rFonts w:hint="eastAsia" w:ascii="宋体" w:hAnsi="宋体" w:eastAsia="宋体" w:cs="宋体"/>
          <w:sz w:val="24"/>
          <w:szCs w:val="24"/>
        </w:rPr>
        <w:t>3.3.1 承包人提交项目管理机构及施工现场管理人员安排报告（格式见合同附件3）的期限：</w:t>
      </w:r>
    </w:p>
    <w:p>
      <w:pPr>
        <w:pStyle w:val="47"/>
        <w:spacing w:line="360" w:lineRule="auto"/>
        <w:rPr>
          <w:rFonts w:hint="eastAsia" w:ascii="宋体" w:hAnsi="宋体" w:eastAsia="宋体" w:cs="宋体"/>
          <w:sz w:val="24"/>
          <w:szCs w:val="24"/>
        </w:rPr>
      </w:pPr>
      <w:r>
        <w:rPr>
          <w:rFonts w:hint="eastAsia" w:ascii="宋体" w:hAnsi="宋体" w:eastAsia="宋体" w:cs="宋体"/>
          <w:sz w:val="24"/>
          <w:szCs w:val="24"/>
          <w:u w:val="single"/>
        </w:rPr>
        <w:t>开工后7日内</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3.3.3 承包人无正当理由拒绝撤换主要施工管理人员的违约责任：</w:t>
      </w:r>
      <w:r>
        <w:rPr>
          <w:rFonts w:hint="eastAsia" w:ascii="宋体" w:hAnsi="宋体" w:eastAsia="宋体" w:cs="宋体"/>
          <w:sz w:val="24"/>
          <w:szCs w:val="24"/>
          <w:u w:val="single"/>
        </w:rPr>
        <w:t>因承包人主要施工管理人员不称职，发包人要求调换而无正当理由拒绝撤换或未及时调换的，视为承包人违约，必须向发包人交纳违约金，违约金标准：技术负责人1000元/人•次（人民币）；专业工程师500元/人•次（人民币）</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3.3.4 承包人主要施工管理人员离开施工现场的批准要求：</w:t>
      </w:r>
      <w:r>
        <w:rPr>
          <w:rFonts w:hint="eastAsia" w:ascii="宋体" w:hAnsi="宋体" w:eastAsia="宋体" w:cs="宋体"/>
          <w:sz w:val="24"/>
          <w:szCs w:val="24"/>
          <w:u w:val="single"/>
        </w:rPr>
        <w:t>需经发包人及监理工程师审批后方可离开，并按规定时间回到施工现场</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3.3.5 承包人擅自更换主要施工管理人员的违约责任：</w:t>
      </w:r>
      <w:r>
        <w:rPr>
          <w:rFonts w:hint="eastAsia" w:ascii="宋体" w:hAnsi="宋体" w:eastAsia="宋体" w:cs="宋体"/>
          <w:sz w:val="24"/>
          <w:szCs w:val="24"/>
          <w:u w:val="single"/>
        </w:rPr>
        <w:t>项目技术负责人、专职安全员及其承诺的其它在场管理人员未经发包人书面同意不准擅自更换，擅自更换项目技术负责人处1000元/人•次（人民币）违约金；擅自更换专职安全员处500元/人•次（人民币）违约金；擅自更换其它在场管理人员处500元/人•次（人民币）违约金</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承包人主要施工管理人员擅自离开施工现场的违约责任：</w:t>
      </w:r>
      <w:r>
        <w:rPr>
          <w:rFonts w:hint="eastAsia" w:ascii="宋体" w:hAnsi="宋体" w:eastAsia="宋体" w:cs="宋体"/>
          <w:sz w:val="24"/>
          <w:szCs w:val="24"/>
          <w:u w:val="single"/>
        </w:rPr>
        <w:t>未经发包人同意，项目技术负责人擅自离岗的，视为承包人违约，发包人有权处违约金1000元/人•次（人民币）；未经发包人同意，专职安全员擅自离岗的，视为承包人违约，发包人有权处违约金1000元/人•次（人民币）；其它在场管理人员擅自离岗的，视为承包人违约，发包人有权处违约金500元/人•次（人民币）</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229" w:name="_Toc27155"/>
      <w:bookmarkStart w:id="230" w:name="_Toc9033"/>
      <w:bookmarkStart w:id="231" w:name="_Toc459809133"/>
      <w:bookmarkStart w:id="232" w:name="_Toc12279"/>
      <w:bookmarkStart w:id="233" w:name="_Toc5539"/>
      <w:bookmarkStart w:id="234" w:name="_Toc16092"/>
      <w:bookmarkStart w:id="235" w:name="_Toc588"/>
      <w:bookmarkStart w:id="236" w:name="_Toc9346"/>
      <w:bookmarkStart w:id="237" w:name="_Toc508111548"/>
      <w:bookmarkStart w:id="238" w:name="_Toc395382512"/>
      <w:bookmarkStart w:id="239" w:name="_Toc29798"/>
      <w:r>
        <w:rPr>
          <w:rFonts w:hint="eastAsia" w:ascii="宋体" w:hAnsi="宋体" w:eastAsia="宋体" w:cs="宋体"/>
          <w:sz w:val="24"/>
          <w:szCs w:val="24"/>
        </w:rPr>
        <w:t>3.5 分包</w:t>
      </w:r>
      <w:bookmarkEnd w:id="229"/>
      <w:bookmarkEnd w:id="230"/>
      <w:bookmarkEnd w:id="231"/>
      <w:bookmarkEnd w:id="232"/>
      <w:bookmarkEnd w:id="233"/>
      <w:bookmarkEnd w:id="234"/>
      <w:bookmarkEnd w:id="235"/>
      <w:bookmarkEnd w:id="236"/>
      <w:bookmarkEnd w:id="237"/>
      <w:bookmarkEnd w:id="238"/>
      <w:bookmarkEnd w:id="239"/>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3.5.1 分包的一般约定</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禁止分包的工程包括：</w:t>
      </w:r>
      <w:r>
        <w:rPr>
          <w:rFonts w:hint="eastAsia" w:ascii="宋体" w:hAnsi="宋体" w:eastAsia="宋体" w:cs="宋体"/>
          <w:sz w:val="24"/>
          <w:szCs w:val="24"/>
          <w:u w:val="single"/>
        </w:rPr>
        <w:t>无</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主体结构、关键性工作的范围：</w:t>
      </w:r>
      <w:r>
        <w:rPr>
          <w:rFonts w:hint="eastAsia" w:ascii="宋体" w:hAnsi="宋体" w:eastAsia="宋体" w:cs="宋体"/>
          <w:sz w:val="24"/>
          <w:szCs w:val="24"/>
          <w:u w:val="single"/>
        </w:rPr>
        <w:t>无</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3.5.2 分包的确定</w:t>
      </w:r>
    </w:p>
    <w:p>
      <w:pPr>
        <w:pStyle w:val="47"/>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允许分包的专业工程包括：</w:t>
      </w:r>
      <w:r>
        <w:rPr>
          <w:rFonts w:hint="eastAsia" w:ascii="宋体" w:hAnsi="宋体" w:eastAsia="宋体" w:cs="宋体"/>
          <w:sz w:val="24"/>
          <w:szCs w:val="24"/>
          <w:u w:val="single"/>
        </w:rPr>
        <w:t>不允许</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其他关于分包的约定：</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4。</w:t>
      </w:r>
    </w:p>
    <w:p>
      <w:pPr>
        <w:pStyle w:val="47"/>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（2）在相关分包合同签订并报送有关建设行政主管部门备案后7天内，承包人应当将一份副本提交给监理人，承包人应保障分包工作不得再次分包。</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（3）未经承包人和监理人审批同意的分包工程和分包人，承包人有权拒绝验收分包工程和支付相应款项，由此引起的发包人费用增加和(或)延误的工期由发包人承担。</w:t>
      </w:r>
    </w:p>
    <w:p>
      <w:pPr>
        <w:pStyle w:val="49"/>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（4）承包人有以下情况之一者，发包人有权解除合同，产生的费用由承包人三承担并视情况按合同价的30%收取违约金，：</w:t>
      </w:r>
    </w:p>
    <w:p>
      <w:pPr>
        <w:pStyle w:val="49"/>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①个人承包工程，包括本人单位及外单位人员承包，发包人不承认其个人拥有任何资质等级及营业许可资格。</w:t>
      </w:r>
    </w:p>
    <w:p>
      <w:pPr>
        <w:pStyle w:val="49"/>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②几个人联合承包工程，就地组织暗分包队伍，不具备完成本工程的技术、机械能力，被发包人判定为没有能力履行的承包人。</w:t>
      </w:r>
    </w:p>
    <w:p>
      <w:pPr>
        <w:pStyle w:val="49"/>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③就地转包全部的工程，以谋取高额转让费、管理费的承包人。</w:t>
      </w:r>
    </w:p>
    <w:p>
      <w:pPr>
        <w:pStyle w:val="47"/>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④承包人有部分分包现象（其中包括冒充承包人下属单位的挂勾单位，凭口头协议参与施工的分包人及其他暗分包个体户），一经发现核实，发包人将采取驱逐该暗分包人措施。</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3.5.4 分包合同价款</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关于分包合同价款支付的约定：</w:t>
      </w:r>
      <w:r>
        <w:rPr>
          <w:rFonts w:hint="eastAsia" w:ascii="宋体" w:hAnsi="宋体" w:eastAsia="宋体" w:cs="宋体"/>
          <w:sz w:val="24"/>
          <w:szCs w:val="24"/>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pStyle w:val="48"/>
        <w:tabs>
          <w:tab w:val="left" w:pos="6480"/>
        </w:tabs>
        <w:spacing w:before="0" w:after="0"/>
        <w:rPr>
          <w:rFonts w:hint="eastAsia" w:ascii="宋体" w:hAnsi="宋体" w:eastAsia="宋体" w:cs="宋体"/>
          <w:sz w:val="24"/>
          <w:szCs w:val="24"/>
        </w:rPr>
      </w:pPr>
      <w:bookmarkStart w:id="240" w:name="_Toc26449"/>
      <w:bookmarkStart w:id="241" w:name="_Toc508111549"/>
      <w:bookmarkStart w:id="242" w:name="_Toc28598"/>
      <w:r>
        <w:rPr>
          <w:rFonts w:hint="eastAsia" w:ascii="宋体" w:hAnsi="宋体" w:eastAsia="宋体" w:cs="宋体"/>
          <w:sz w:val="24"/>
          <w:szCs w:val="24"/>
        </w:rPr>
        <w:t>3.6 工程照管与成品、半成品保护</w:t>
      </w:r>
      <w:bookmarkEnd w:id="225"/>
      <w:bookmarkEnd w:id="226"/>
      <w:bookmarkEnd w:id="227"/>
      <w:bookmarkEnd w:id="228"/>
      <w:bookmarkEnd w:id="240"/>
      <w:bookmarkEnd w:id="241"/>
      <w:bookmarkEnd w:id="242"/>
    </w:p>
    <w:p>
      <w:pPr>
        <w:pStyle w:val="47"/>
        <w:tabs>
          <w:tab w:val="left" w:pos="6480"/>
        </w:tabs>
        <w:spacing w:line="360" w:lineRule="auto"/>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承包人负责照管工程及工程相关的材料、工程设备的起始时间：</w:t>
      </w:r>
      <w:r>
        <w:rPr>
          <w:rFonts w:hint="eastAsia" w:ascii="宋体" w:hAnsi="宋体" w:eastAsia="宋体" w:cs="宋体"/>
          <w:kern w:val="0"/>
          <w:sz w:val="24"/>
          <w:szCs w:val="24"/>
          <w:u w:val="single"/>
        </w:rPr>
        <w:t>发包人向承包人移交施工现场之日起，至本合同约定项目通过竣工验收后承包人向发包人移交之日止</w:t>
      </w:r>
      <w:r>
        <w:rPr>
          <w:rFonts w:hint="eastAsia" w:ascii="宋体" w:hAnsi="宋体" w:eastAsia="宋体" w:cs="宋体"/>
          <w:kern w:val="0"/>
          <w:sz w:val="24"/>
          <w:szCs w:val="24"/>
        </w:rPr>
        <w:t>。</w:t>
      </w:r>
    </w:p>
    <w:p>
      <w:pPr>
        <w:pStyle w:val="48"/>
        <w:tabs>
          <w:tab w:val="left" w:pos="6480"/>
        </w:tabs>
        <w:spacing w:before="0" w:after="0"/>
        <w:rPr>
          <w:rFonts w:hint="eastAsia" w:ascii="宋体" w:hAnsi="宋体" w:eastAsia="宋体" w:cs="宋体"/>
          <w:sz w:val="24"/>
          <w:szCs w:val="24"/>
        </w:rPr>
      </w:pPr>
      <w:bookmarkStart w:id="243" w:name="_Toc373227712"/>
      <w:bookmarkStart w:id="244" w:name="_Toc373478359"/>
      <w:bookmarkStart w:id="245" w:name="_Toc389065278"/>
      <w:bookmarkStart w:id="246" w:name="_Toc6939"/>
      <w:bookmarkStart w:id="247" w:name="_Toc24946"/>
      <w:bookmarkStart w:id="248" w:name="_Toc466476794"/>
      <w:bookmarkStart w:id="249" w:name="_Toc508111550"/>
      <w:r>
        <w:rPr>
          <w:rFonts w:hint="eastAsia" w:ascii="宋体" w:hAnsi="宋体" w:eastAsia="宋体" w:cs="宋体"/>
          <w:sz w:val="24"/>
          <w:szCs w:val="24"/>
        </w:rPr>
        <w:t>3.7 履约</w:t>
      </w:r>
      <w:bookmarkEnd w:id="243"/>
      <w:bookmarkEnd w:id="244"/>
      <w:bookmarkEnd w:id="245"/>
      <w:r>
        <w:rPr>
          <w:rFonts w:hint="eastAsia" w:ascii="宋体" w:hAnsi="宋体" w:eastAsia="宋体" w:cs="宋体"/>
          <w:sz w:val="24"/>
          <w:szCs w:val="24"/>
        </w:rPr>
        <w:t>保证金</w:t>
      </w:r>
      <w:bookmarkEnd w:id="246"/>
      <w:bookmarkEnd w:id="247"/>
      <w:bookmarkEnd w:id="248"/>
      <w:bookmarkEnd w:id="249"/>
    </w:p>
    <w:p>
      <w:pPr>
        <w:pStyle w:val="47"/>
        <w:spacing w:line="360" w:lineRule="auto"/>
        <w:ind w:firstLine="480" w:firstLineChars="200"/>
        <w:jc w:val="left"/>
        <w:rPr>
          <w:rFonts w:hint="eastAsia" w:ascii="宋体" w:hAnsi="宋体" w:eastAsia="宋体" w:cs="宋体"/>
          <w:sz w:val="24"/>
          <w:szCs w:val="24"/>
          <w:u w:val="single"/>
        </w:rPr>
      </w:pPr>
      <w:bookmarkStart w:id="250" w:name="_Toc373227713"/>
      <w:bookmarkStart w:id="251" w:name="_Toc466476795"/>
      <w:bookmarkStart w:id="252" w:name="_Toc373478360"/>
      <w:bookmarkStart w:id="253" w:name="_Toc389065279"/>
      <w:bookmarkStart w:id="254" w:name="_Toc351203636"/>
      <w:r>
        <w:rPr>
          <w:rFonts w:hint="eastAsia" w:ascii="宋体" w:hAnsi="宋体" w:eastAsia="宋体" w:cs="宋体"/>
          <w:sz w:val="24"/>
          <w:szCs w:val="24"/>
        </w:rPr>
        <w:t>承包人提供履约担保的形式、金额及期限的：</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p>
    <w:p>
      <w:pPr>
        <w:pStyle w:val="46"/>
        <w:tabs>
          <w:tab w:val="left" w:pos="6480"/>
        </w:tabs>
        <w:spacing w:before="0" w:after="0"/>
        <w:rPr>
          <w:rFonts w:hint="eastAsia" w:ascii="宋体" w:hAnsi="宋体" w:eastAsia="宋体" w:cs="宋体"/>
          <w:sz w:val="24"/>
          <w:szCs w:val="24"/>
        </w:rPr>
      </w:pPr>
      <w:bookmarkStart w:id="255" w:name="_Toc9051"/>
      <w:bookmarkStart w:id="256" w:name="_Toc25516"/>
      <w:bookmarkStart w:id="257" w:name="_Toc508111551"/>
      <w:r>
        <w:rPr>
          <w:rFonts w:hint="eastAsia" w:ascii="宋体" w:hAnsi="宋体" w:eastAsia="宋体" w:cs="宋体"/>
          <w:sz w:val="24"/>
          <w:szCs w:val="24"/>
        </w:rPr>
        <w:t>4</w:t>
      </w:r>
      <w:bookmarkStart w:id="258" w:name="_Toc296890990"/>
      <w:bookmarkStart w:id="259" w:name="_Toc267251413"/>
      <w:bookmarkStart w:id="260" w:name="_Toc296891202"/>
      <w:bookmarkStart w:id="261" w:name="_Toc297048348"/>
      <w:bookmarkStart w:id="262" w:name="_Toc292559366"/>
      <w:bookmarkStart w:id="263" w:name="_Toc296346663"/>
      <w:bookmarkStart w:id="264" w:name="_Toc297120462"/>
      <w:bookmarkStart w:id="265" w:name="_Toc296944501"/>
      <w:bookmarkStart w:id="266" w:name="_Toc292559871"/>
      <w:bookmarkStart w:id="267" w:name="_Toc296503162"/>
      <w:bookmarkStart w:id="268" w:name="_Toc296347161"/>
      <w:r>
        <w:rPr>
          <w:rFonts w:hint="eastAsia" w:ascii="宋体" w:hAnsi="宋体" w:eastAsia="宋体" w:cs="宋体"/>
          <w:sz w:val="24"/>
          <w:szCs w:val="24"/>
        </w:rPr>
        <w:t>. 监</w:t>
      </w:r>
      <w:bookmarkEnd w:id="258"/>
      <w:bookmarkEnd w:id="259"/>
      <w:bookmarkEnd w:id="260"/>
      <w:bookmarkEnd w:id="261"/>
      <w:bookmarkEnd w:id="262"/>
      <w:bookmarkEnd w:id="263"/>
      <w:bookmarkEnd w:id="264"/>
      <w:bookmarkEnd w:id="265"/>
      <w:bookmarkEnd w:id="266"/>
      <w:bookmarkEnd w:id="267"/>
      <w:bookmarkEnd w:id="268"/>
      <w:r>
        <w:rPr>
          <w:rFonts w:hint="eastAsia" w:ascii="宋体" w:hAnsi="宋体" w:eastAsia="宋体" w:cs="宋体"/>
          <w:sz w:val="24"/>
          <w:szCs w:val="24"/>
        </w:rPr>
        <w:t>理人</w:t>
      </w:r>
      <w:bookmarkEnd w:id="250"/>
      <w:bookmarkEnd w:id="251"/>
      <w:bookmarkEnd w:id="252"/>
      <w:bookmarkEnd w:id="253"/>
      <w:bookmarkEnd w:id="254"/>
      <w:bookmarkEnd w:id="255"/>
      <w:bookmarkEnd w:id="256"/>
      <w:bookmarkEnd w:id="257"/>
    </w:p>
    <w:p>
      <w:pPr>
        <w:pStyle w:val="48"/>
        <w:tabs>
          <w:tab w:val="left" w:pos="6480"/>
        </w:tabs>
        <w:spacing w:before="0" w:after="0"/>
        <w:rPr>
          <w:rFonts w:hint="eastAsia" w:ascii="宋体" w:hAnsi="宋体" w:eastAsia="宋体" w:cs="宋体"/>
          <w:sz w:val="24"/>
          <w:szCs w:val="24"/>
        </w:rPr>
      </w:pPr>
      <w:bookmarkStart w:id="269" w:name="_Toc508111552"/>
      <w:bookmarkStart w:id="270" w:name="_Toc389065280"/>
      <w:bookmarkStart w:id="271" w:name="_Toc466476796"/>
      <w:bookmarkStart w:id="272" w:name="_Toc373478361"/>
      <w:bookmarkStart w:id="273" w:name="_Toc1026"/>
      <w:bookmarkStart w:id="274" w:name="_Toc30873"/>
      <w:bookmarkStart w:id="275" w:name="_Toc373227714"/>
      <w:r>
        <w:rPr>
          <w:rFonts w:hint="eastAsia" w:ascii="宋体" w:hAnsi="宋体" w:eastAsia="宋体" w:cs="宋体"/>
          <w:sz w:val="24"/>
          <w:szCs w:val="24"/>
        </w:rPr>
        <w:t>4.1 监理人的一般规定</w:t>
      </w:r>
      <w:bookmarkEnd w:id="269"/>
      <w:bookmarkEnd w:id="270"/>
      <w:bookmarkEnd w:id="271"/>
      <w:bookmarkEnd w:id="272"/>
      <w:bookmarkEnd w:id="273"/>
      <w:bookmarkEnd w:id="274"/>
      <w:bookmarkEnd w:id="275"/>
    </w:p>
    <w:p>
      <w:pPr>
        <w:pStyle w:val="47"/>
        <w:spacing w:line="360" w:lineRule="auto"/>
        <w:ind w:firstLine="480" w:firstLineChars="200"/>
        <w:jc w:val="left"/>
        <w:rPr>
          <w:rFonts w:hint="eastAsia" w:ascii="宋体" w:hAnsi="宋体" w:eastAsia="宋体" w:cs="宋体"/>
          <w:sz w:val="24"/>
          <w:szCs w:val="24"/>
        </w:rPr>
      </w:pPr>
      <w:bookmarkStart w:id="276" w:name="_Toc373227715"/>
      <w:bookmarkStart w:id="277" w:name="_Toc373478362"/>
      <w:bookmarkStart w:id="278" w:name="_Toc389065281"/>
      <w:bookmarkStart w:id="279" w:name="_Toc466476797"/>
      <w:r>
        <w:rPr>
          <w:rFonts w:hint="eastAsia" w:ascii="宋体" w:hAnsi="宋体" w:eastAsia="宋体" w:cs="宋体"/>
          <w:sz w:val="24"/>
          <w:szCs w:val="24"/>
        </w:rPr>
        <w:t>关于监理人的监理内容：</w:t>
      </w:r>
      <w:r>
        <w:rPr>
          <w:rFonts w:hint="eastAsia" w:ascii="宋体" w:hAnsi="宋体" w:eastAsia="宋体" w:cs="宋体"/>
          <w:sz w:val="24"/>
          <w:szCs w:val="24"/>
          <w:u w:val="single"/>
        </w:rPr>
        <w:t>按监理合同约定</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关于监理人的监理权限：</w:t>
      </w:r>
      <w:r>
        <w:rPr>
          <w:rFonts w:hint="eastAsia" w:ascii="宋体" w:hAnsi="宋体" w:eastAsia="宋体" w:cs="宋体"/>
          <w:sz w:val="24"/>
          <w:szCs w:val="24"/>
          <w:u w:val="single"/>
        </w:rPr>
        <w:t>按监理合同约定</w:t>
      </w:r>
      <w:r>
        <w:rPr>
          <w:rFonts w:hint="eastAsia" w:ascii="宋体" w:hAnsi="宋体" w:eastAsia="宋体" w:cs="宋体"/>
          <w:sz w:val="24"/>
          <w:szCs w:val="24"/>
        </w:rPr>
        <w:t>。</w:t>
      </w:r>
    </w:p>
    <w:p>
      <w:pPr>
        <w:pStyle w:val="47"/>
        <w:spacing w:line="360" w:lineRule="auto"/>
        <w:rPr>
          <w:rFonts w:hint="eastAsia" w:ascii="宋体" w:hAnsi="宋体" w:eastAsia="宋体" w:cs="宋体"/>
          <w:sz w:val="24"/>
          <w:szCs w:val="24"/>
        </w:rPr>
      </w:pPr>
      <w:r>
        <w:rPr>
          <w:rFonts w:hint="eastAsia" w:ascii="宋体" w:hAnsi="宋体" w:eastAsia="宋体" w:cs="宋体"/>
          <w:sz w:val="24"/>
          <w:szCs w:val="24"/>
        </w:rPr>
        <w:t xml:space="preserve">    关于监理人在施工现场的办公场所、生活场所的提供和费用承担的约定：</w:t>
      </w:r>
      <w:r>
        <w:rPr>
          <w:rFonts w:hint="eastAsia" w:ascii="宋体" w:hAnsi="宋体" w:eastAsia="宋体" w:cs="宋体"/>
          <w:sz w:val="24"/>
          <w:szCs w:val="24"/>
          <w:u w:val="single"/>
        </w:rPr>
        <w:t>由发包人提供监理办公室一间</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280" w:name="_Toc508111553"/>
      <w:bookmarkStart w:id="281" w:name="_Toc24245"/>
      <w:bookmarkStart w:id="282" w:name="_Toc27598"/>
      <w:r>
        <w:rPr>
          <w:rFonts w:hint="eastAsia" w:ascii="宋体" w:hAnsi="宋体" w:eastAsia="宋体" w:cs="宋体"/>
          <w:sz w:val="24"/>
          <w:szCs w:val="24"/>
        </w:rPr>
        <w:t>4.2 监理人员</w:t>
      </w:r>
      <w:bookmarkEnd w:id="276"/>
      <w:bookmarkEnd w:id="277"/>
      <w:bookmarkEnd w:id="278"/>
      <w:bookmarkEnd w:id="279"/>
      <w:bookmarkEnd w:id="280"/>
      <w:bookmarkEnd w:id="281"/>
      <w:bookmarkEnd w:id="282"/>
    </w:p>
    <w:p>
      <w:pPr>
        <w:pStyle w:val="47"/>
        <w:tabs>
          <w:tab w:val="left" w:pos="64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总监理工程师：</w:t>
      </w:r>
    </w:p>
    <w:p>
      <w:pPr>
        <w:pStyle w:val="47"/>
        <w:tabs>
          <w:tab w:val="left" w:pos="6480"/>
        </w:tabs>
        <w:spacing w:line="420" w:lineRule="exact"/>
        <w:ind w:firstLine="480" w:firstLineChars="200"/>
        <w:rPr>
          <w:rFonts w:hint="eastAsia" w:ascii="宋体" w:hAnsi="宋体" w:eastAsia="宋体" w:cs="宋体"/>
          <w:sz w:val="24"/>
          <w:szCs w:val="24"/>
        </w:rPr>
      </w:pPr>
      <w:bookmarkStart w:id="283" w:name="_Toc389065282"/>
      <w:bookmarkStart w:id="284" w:name="_Toc373227716"/>
      <w:bookmarkStart w:id="285" w:name="_Toc373478363"/>
      <w:r>
        <w:rPr>
          <w:rFonts w:hint="eastAsia" w:ascii="宋体" w:hAnsi="宋体" w:eastAsia="宋体" w:cs="宋体"/>
          <w:sz w:val="24"/>
          <w:szCs w:val="24"/>
        </w:rPr>
        <w:t>姓    名：；</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职    务：；</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监理工程师执业资格证书号：；</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广西建筑市场诚信卡卡号：；</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联系电话：；</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关于监理人的其他约定：</w:t>
      </w:r>
      <w:r>
        <w:rPr>
          <w:rFonts w:hint="eastAsia" w:ascii="宋体" w:hAnsi="宋体" w:eastAsia="宋体" w:cs="宋体"/>
          <w:sz w:val="24"/>
          <w:szCs w:val="24"/>
          <w:u w:val="single"/>
        </w:rPr>
        <w:t>/</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286" w:name="_Toc466476798"/>
      <w:bookmarkStart w:id="287" w:name="_Toc5804"/>
      <w:bookmarkStart w:id="288" w:name="_Toc508111554"/>
      <w:bookmarkStart w:id="289" w:name="_Toc30035"/>
      <w:r>
        <w:rPr>
          <w:rFonts w:hint="eastAsia" w:ascii="宋体" w:hAnsi="宋体" w:eastAsia="宋体" w:cs="宋体"/>
          <w:sz w:val="24"/>
          <w:szCs w:val="24"/>
        </w:rPr>
        <w:t>4.4 商定或确定</w:t>
      </w:r>
      <w:bookmarkEnd w:id="283"/>
      <w:bookmarkEnd w:id="284"/>
      <w:bookmarkEnd w:id="285"/>
      <w:bookmarkEnd w:id="286"/>
      <w:bookmarkEnd w:id="287"/>
      <w:bookmarkEnd w:id="288"/>
      <w:bookmarkEnd w:id="289"/>
    </w:p>
    <w:p>
      <w:pPr>
        <w:pStyle w:val="47"/>
        <w:tabs>
          <w:tab w:val="left" w:pos="6480"/>
        </w:tabs>
        <w:spacing w:line="360" w:lineRule="auto"/>
        <w:ind w:firstLine="480" w:firstLineChars="200"/>
        <w:rPr>
          <w:rFonts w:hint="eastAsia" w:ascii="宋体" w:hAnsi="宋体" w:eastAsia="宋体" w:cs="宋体"/>
          <w:sz w:val="24"/>
          <w:szCs w:val="24"/>
        </w:rPr>
      </w:pPr>
      <w:bookmarkStart w:id="290" w:name="_Toc267251418"/>
      <w:r>
        <w:rPr>
          <w:rFonts w:hint="eastAsia" w:ascii="宋体" w:hAnsi="宋体" w:eastAsia="宋体" w:cs="宋体"/>
          <w:sz w:val="24"/>
          <w:szCs w:val="24"/>
        </w:rPr>
        <w:t>在发包人和承包人不能通过协商达成一致意见时，发包人授权监理人对以下事项进行确定：</w:t>
      </w:r>
    </w:p>
    <w:p>
      <w:pPr>
        <w:pStyle w:val="47"/>
        <w:tabs>
          <w:tab w:val="left" w:pos="6480"/>
        </w:tabs>
        <w:spacing w:line="420" w:lineRule="exact"/>
        <w:ind w:firstLine="480" w:firstLineChars="200"/>
        <w:rPr>
          <w:rFonts w:hint="eastAsia" w:ascii="宋体" w:hAnsi="宋体" w:eastAsia="宋体" w:cs="宋体"/>
          <w:sz w:val="24"/>
          <w:szCs w:val="24"/>
        </w:rPr>
      </w:pPr>
      <w:bookmarkStart w:id="291" w:name="_Toc373478364"/>
      <w:bookmarkStart w:id="292" w:name="_Toc389065283"/>
      <w:bookmarkStart w:id="293" w:name="_Toc351203637"/>
      <w:bookmarkStart w:id="294" w:name="_Toc373227717"/>
      <w:r>
        <w:rPr>
          <w:rFonts w:hint="eastAsia" w:ascii="宋体" w:hAnsi="宋体" w:eastAsia="宋体" w:cs="宋体"/>
          <w:sz w:val="24"/>
          <w:szCs w:val="24"/>
        </w:rPr>
        <w:t>（1）</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7"/>
        <w:tabs>
          <w:tab w:val="left" w:pos="6480"/>
        </w:tabs>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6"/>
        <w:tabs>
          <w:tab w:val="left" w:pos="6480"/>
        </w:tabs>
        <w:spacing w:after="0"/>
        <w:rPr>
          <w:rFonts w:hint="eastAsia" w:ascii="宋体" w:hAnsi="宋体" w:eastAsia="宋体" w:cs="宋体"/>
          <w:sz w:val="24"/>
          <w:szCs w:val="24"/>
        </w:rPr>
      </w:pPr>
      <w:bookmarkStart w:id="295" w:name="_Toc15221"/>
      <w:bookmarkStart w:id="296" w:name="_Toc508111555"/>
      <w:bookmarkStart w:id="297" w:name="_Toc25876"/>
      <w:bookmarkStart w:id="298" w:name="_Toc466476799"/>
      <w:r>
        <w:rPr>
          <w:rFonts w:hint="eastAsia" w:ascii="宋体" w:hAnsi="宋体" w:eastAsia="宋体" w:cs="宋体"/>
          <w:sz w:val="24"/>
          <w:szCs w:val="24"/>
        </w:rPr>
        <w:t>5</w:t>
      </w:r>
      <w:bookmarkEnd w:id="290"/>
      <w:bookmarkStart w:id="299" w:name="_Toc292559872"/>
      <w:bookmarkStart w:id="300" w:name="_Toc296944502"/>
      <w:bookmarkStart w:id="301" w:name="_Toc296891203"/>
      <w:bookmarkStart w:id="302" w:name="_Toc292559367"/>
      <w:bookmarkStart w:id="303" w:name="_Toc296503163"/>
      <w:bookmarkStart w:id="304" w:name="_Toc296346664"/>
      <w:bookmarkStart w:id="305" w:name="_Toc297048349"/>
      <w:bookmarkStart w:id="306" w:name="_Toc297120463"/>
      <w:bookmarkStart w:id="307" w:name="_Toc296890991"/>
      <w:bookmarkStart w:id="308" w:name="_Toc296347162"/>
      <w:r>
        <w:rPr>
          <w:rFonts w:hint="eastAsia" w:ascii="宋体" w:hAnsi="宋体" w:eastAsia="宋体" w:cs="宋体"/>
          <w:sz w:val="24"/>
          <w:szCs w:val="24"/>
        </w:rPr>
        <w:t>. 工程质量</w:t>
      </w:r>
      <w:bookmarkEnd w:id="291"/>
      <w:bookmarkEnd w:id="292"/>
      <w:bookmarkEnd w:id="293"/>
      <w:bookmarkEnd w:id="294"/>
      <w:bookmarkEnd w:id="295"/>
      <w:bookmarkEnd w:id="296"/>
      <w:bookmarkEnd w:id="297"/>
      <w:bookmarkEnd w:id="298"/>
    </w:p>
    <w:p>
      <w:pPr>
        <w:pStyle w:val="48"/>
        <w:tabs>
          <w:tab w:val="left" w:pos="6480"/>
        </w:tabs>
        <w:spacing w:before="0" w:after="0"/>
        <w:rPr>
          <w:rFonts w:hint="eastAsia" w:ascii="宋体" w:hAnsi="宋体" w:eastAsia="宋体" w:cs="宋体"/>
          <w:sz w:val="24"/>
          <w:szCs w:val="24"/>
        </w:rPr>
      </w:pPr>
      <w:bookmarkStart w:id="309" w:name="_Toc373227718"/>
      <w:bookmarkStart w:id="310" w:name="_Toc14180"/>
      <w:bookmarkStart w:id="311" w:name="_Toc4270"/>
      <w:bookmarkStart w:id="312" w:name="_Toc466476800"/>
      <w:bookmarkStart w:id="313" w:name="_Toc373478365"/>
      <w:bookmarkStart w:id="314" w:name="_Toc389065284"/>
      <w:bookmarkStart w:id="315" w:name="_Toc508111556"/>
      <w:r>
        <w:rPr>
          <w:rFonts w:hint="eastAsia" w:ascii="宋体" w:hAnsi="宋体" w:eastAsia="宋体" w:cs="宋体"/>
          <w:sz w:val="24"/>
          <w:szCs w:val="24"/>
        </w:rPr>
        <w:t>5.1 质量要求</w:t>
      </w:r>
      <w:bookmarkEnd w:id="309"/>
      <w:bookmarkEnd w:id="310"/>
      <w:bookmarkEnd w:id="311"/>
      <w:bookmarkEnd w:id="312"/>
      <w:bookmarkEnd w:id="313"/>
      <w:bookmarkEnd w:id="314"/>
      <w:bookmarkEnd w:id="315"/>
    </w:p>
    <w:p>
      <w:pPr>
        <w:pStyle w:val="47"/>
        <w:spacing w:line="360" w:lineRule="auto"/>
        <w:ind w:firstLine="480" w:firstLineChars="200"/>
        <w:jc w:val="left"/>
        <w:rPr>
          <w:rFonts w:hint="eastAsia" w:ascii="宋体" w:hAnsi="宋体" w:eastAsia="宋体" w:cs="宋体"/>
          <w:sz w:val="24"/>
          <w:szCs w:val="24"/>
          <w:u w:val="single"/>
        </w:rPr>
      </w:pPr>
      <w:bookmarkStart w:id="316" w:name="_Toc373478366"/>
      <w:bookmarkStart w:id="317" w:name="_Toc373227719"/>
      <w:bookmarkStart w:id="318" w:name="_Toc351203638"/>
      <w:bookmarkStart w:id="319" w:name="_Toc389065285"/>
      <w:bookmarkStart w:id="320" w:name="_Toc466476801"/>
      <w:bookmarkStart w:id="321" w:name="_Toc304295527"/>
      <w:bookmarkStart w:id="322" w:name="_Toc297216155"/>
      <w:bookmarkStart w:id="323" w:name="_Toc297123496"/>
      <w:bookmarkStart w:id="324" w:name="_Toc318581164"/>
      <w:bookmarkStart w:id="325" w:name="_Toc300934949"/>
      <w:bookmarkStart w:id="326" w:name="_Toc312677997"/>
      <w:bookmarkStart w:id="327" w:name="_Toc303539106"/>
      <w:r>
        <w:rPr>
          <w:rFonts w:hint="eastAsia" w:ascii="宋体" w:hAnsi="宋体" w:eastAsia="宋体" w:cs="宋体"/>
          <w:sz w:val="24"/>
          <w:szCs w:val="24"/>
        </w:rPr>
        <w:t>5.1.1 特殊质量标准和要求：</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关于工程奖项的约定：</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5.3 隐蔽工程检查</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5.3.2承包人提前通知监理人隐蔽工程检查的期限的约定：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监理人不能按时进行检查时，应提前</w:t>
      </w:r>
      <w:r>
        <w:rPr>
          <w:rFonts w:hint="eastAsia" w:ascii="宋体" w:hAnsi="宋体" w:eastAsia="宋体" w:cs="宋体"/>
          <w:sz w:val="24"/>
          <w:szCs w:val="24"/>
          <w:u w:val="single"/>
        </w:rPr>
        <w:t>24</w:t>
      </w:r>
      <w:r>
        <w:rPr>
          <w:rFonts w:hint="eastAsia" w:ascii="宋体" w:hAnsi="宋体" w:eastAsia="宋体" w:cs="宋体"/>
          <w:sz w:val="24"/>
          <w:szCs w:val="24"/>
        </w:rPr>
        <w:t>小时提交书面延期要求。</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关于延期最长不得超过：</w:t>
      </w:r>
      <w:r>
        <w:rPr>
          <w:rFonts w:hint="eastAsia" w:ascii="宋体" w:hAnsi="宋体" w:eastAsia="宋体" w:cs="宋体"/>
          <w:sz w:val="24"/>
          <w:szCs w:val="24"/>
          <w:u w:val="single"/>
        </w:rPr>
        <w:t>48</w:t>
      </w:r>
      <w:r>
        <w:rPr>
          <w:rFonts w:hint="eastAsia" w:ascii="宋体" w:hAnsi="宋体" w:eastAsia="宋体" w:cs="宋体"/>
          <w:sz w:val="24"/>
          <w:szCs w:val="24"/>
        </w:rPr>
        <w:t>小时。</w:t>
      </w:r>
    </w:p>
    <w:p>
      <w:pPr>
        <w:pStyle w:val="46"/>
        <w:tabs>
          <w:tab w:val="left" w:pos="6480"/>
        </w:tabs>
        <w:spacing w:after="0"/>
        <w:rPr>
          <w:rFonts w:hint="eastAsia" w:ascii="宋体" w:hAnsi="宋体" w:eastAsia="宋体" w:cs="宋体"/>
          <w:sz w:val="24"/>
          <w:szCs w:val="24"/>
        </w:rPr>
      </w:pPr>
      <w:bookmarkStart w:id="328" w:name="_Toc26253"/>
      <w:bookmarkStart w:id="329" w:name="_Toc27412"/>
      <w:bookmarkStart w:id="330" w:name="_Toc508111557"/>
      <w:r>
        <w:rPr>
          <w:rFonts w:hint="eastAsia" w:ascii="宋体" w:hAnsi="宋体" w:eastAsia="宋体" w:cs="宋体"/>
          <w:sz w:val="24"/>
          <w:szCs w:val="24"/>
        </w:rPr>
        <w:t>6. 安全文明施工与环境保护</w:t>
      </w:r>
      <w:bookmarkEnd w:id="316"/>
      <w:bookmarkEnd w:id="317"/>
      <w:bookmarkEnd w:id="318"/>
      <w:bookmarkEnd w:id="319"/>
      <w:bookmarkEnd w:id="320"/>
      <w:bookmarkEnd w:id="328"/>
      <w:bookmarkEnd w:id="329"/>
      <w:bookmarkEnd w:id="330"/>
    </w:p>
    <w:p>
      <w:pPr>
        <w:pStyle w:val="48"/>
        <w:tabs>
          <w:tab w:val="left" w:pos="6480"/>
        </w:tabs>
        <w:spacing w:before="0" w:after="0"/>
        <w:rPr>
          <w:rFonts w:hint="eastAsia" w:ascii="宋体" w:hAnsi="宋体" w:eastAsia="宋体" w:cs="宋体"/>
          <w:sz w:val="24"/>
          <w:szCs w:val="24"/>
        </w:rPr>
      </w:pPr>
      <w:bookmarkStart w:id="331" w:name="_Toc373478367"/>
      <w:bookmarkStart w:id="332" w:name="_Toc6879"/>
      <w:bookmarkStart w:id="333" w:name="_Toc2746"/>
      <w:bookmarkStart w:id="334" w:name="_Toc508111558"/>
      <w:bookmarkStart w:id="335" w:name="_Toc466476802"/>
      <w:bookmarkStart w:id="336" w:name="_Toc389065286"/>
      <w:bookmarkStart w:id="337" w:name="_Toc373227720"/>
      <w:r>
        <w:rPr>
          <w:rFonts w:hint="eastAsia" w:ascii="宋体" w:hAnsi="宋体" w:eastAsia="宋体" w:cs="宋体"/>
          <w:sz w:val="24"/>
          <w:szCs w:val="24"/>
        </w:rPr>
        <w:t>6.1 安全文明施工</w:t>
      </w:r>
      <w:bookmarkEnd w:id="331"/>
      <w:bookmarkEnd w:id="332"/>
      <w:bookmarkEnd w:id="333"/>
      <w:bookmarkEnd w:id="334"/>
      <w:bookmarkEnd w:id="335"/>
      <w:bookmarkEnd w:id="336"/>
      <w:bookmarkEnd w:id="337"/>
    </w:p>
    <w:bookmarkEnd w:id="321"/>
    <w:bookmarkEnd w:id="322"/>
    <w:bookmarkEnd w:id="323"/>
    <w:bookmarkEnd w:id="324"/>
    <w:bookmarkEnd w:id="325"/>
    <w:bookmarkEnd w:id="326"/>
    <w:bookmarkEnd w:id="327"/>
    <w:p>
      <w:pPr>
        <w:pStyle w:val="47"/>
        <w:spacing w:line="360" w:lineRule="auto"/>
        <w:ind w:firstLine="480" w:firstLineChars="200"/>
        <w:jc w:val="left"/>
        <w:rPr>
          <w:rFonts w:hint="eastAsia" w:ascii="宋体" w:hAnsi="宋体" w:eastAsia="宋体" w:cs="宋体"/>
          <w:sz w:val="24"/>
          <w:szCs w:val="24"/>
        </w:rPr>
      </w:pPr>
      <w:bookmarkStart w:id="338" w:name="_Toc466476803"/>
      <w:bookmarkStart w:id="339" w:name="_Toc351203639"/>
      <w:bookmarkStart w:id="340" w:name="_Toc389065288"/>
      <w:bookmarkStart w:id="341" w:name="_Toc373478369"/>
      <w:bookmarkStart w:id="342" w:name="_Toc373227722"/>
      <w:r>
        <w:rPr>
          <w:rFonts w:hint="eastAsia" w:ascii="宋体" w:hAnsi="宋体" w:eastAsia="宋体" w:cs="宋体"/>
          <w:sz w:val="24"/>
          <w:szCs w:val="24"/>
        </w:rPr>
        <w:t>6.1.1 项目安全生产的达标目标及相应事项的约定：</w:t>
      </w:r>
      <w:r>
        <w:rPr>
          <w:rFonts w:hint="eastAsia" w:ascii="宋体" w:hAnsi="宋体" w:eastAsia="宋体" w:cs="宋体"/>
          <w:sz w:val="24"/>
          <w:szCs w:val="24"/>
          <w:u w:val="single"/>
        </w:rPr>
        <w:t>按通用条款6.1.1执行</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关于安全文明施工奖项的约定：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6.1.4 关于治安保卫的特别约定：</w:t>
      </w:r>
      <w:r>
        <w:rPr>
          <w:rFonts w:hint="eastAsia" w:ascii="宋体" w:hAnsi="宋体" w:eastAsia="宋体" w:cs="宋体"/>
          <w:sz w:val="24"/>
          <w:szCs w:val="24"/>
          <w:u w:val="single"/>
        </w:rPr>
        <w:t>承包人应承担施工安全保卫工作及非夜间施工照明的责任，承包人应采取一切预防措施，防止人员伤亡、财产损失事故，费用由承包人承担。承包人生活设施及施工场应配备消防设备，防止火灾发生。</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关于编制施工场地治安管理计划的约定：</w:t>
      </w:r>
      <w:r>
        <w:rPr>
          <w:rFonts w:hint="eastAsia" w:ascii="宋体" w:hAnsi="宋体" w:eastAsia="宋体" w:cs="宋体"/>
          <w:sz w:val="24"/>
          <w:szCs w:val="24"/>
          <w:u w:val="single"/>
        </w:rPr>
        <w:t>按通用条款6.1.4执行</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6.1.5 文明施工</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合同当事人对文明施工的要求：</w:t>
      </w:r>
      <w:r>
        <w:rPr>
          <w:rFonts w:hint="eastAsia" w:ascii="宋体" w:hAnsi="宋体" w:eastAsia="宋体" w:cs="宋体"/>
          <w:sz w:val="24"/>
          <w:szCs w:val="24"/>
          <w:u w:val="single"/>
        </w:rPr>
        <w:t>按文明施工规范要求施工</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6.1.6 关于安全文明施工费支付比例和支付期限的约定：</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（1）本合同价款已包含安全文明施工费，安全文明施工费为</w:t>
      </w:r>
      <w:r>
        <w:rPr>
          <w:rFonts w:hint="eastAsia" w:ascii="宋体" w:hAnsi="宋体" w:eastAsia="宋体" w:cs="宋体"/>
          <w:kern w:val="0"/>
          <w:sz w:val="24"/>
          <w:szCs w:val="24"/>
          <w:u w:val="single"/>
        </w:rPr>
        <w:t>/</w:t>
      </w:r>
      <w:r>
        <w:rPr>
          <w:rFonts w:hint="eastAsia" w:ascii="宋体" w:hAnsi="宋体" w:eastAsia="宋体" w:cs="宋体"/>
          <w:kern w:val="0"/>
          <w:sz w:val="24"/>
          <w:szCs w:val="24"/>
        </w:rPr>
        <w:t>元。</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（2）使用要求：专款专用。具体按《广西壮族自治区建设工程安全文明施工费使用管理细则》（桂建质〔2015〕16号）和河池市相关规定执行。</w:t>
      </w:r>
    </w:p>
    <w:p>
      <w:pPr>
        <w:pStyle w:val="47"/>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（3）支付约定：</w:t>
      </w:r>
      <w:bookmarkStart w:id="343" w:name="_Toc2454"/>
      <w:bookmarkStart w:id="344" w:name="_Toc459809144"/>
      <w:bookmarkStart w:id="345" w:name="_Toc17799"/>
      <w:bookmarkStart w:id="346" w:name="_Toc1466"/>
      <w:bookmarkStart w:id="347" w:name="_Toc3214"/>
      <w:bookmarkStart w:id="348" w:name="_Toc18735"/>
      <w:bookmarkStart w:id="349" w:name="_Toc13552"/>
      <w:bookmarkStart w:id="350" w:name="_Toc395382523"/>
      <w:bookmarkStart w:id="351" w:name="_Toc9980"/>
      <w:r>
        <w:rPr>
          <w:rFonts w:hint="eastAsia" w:ascii="宋体" w:hAnsi="宋体" w:eastAsia="宋体" w:cs="宋体"/>
          <w:kern w:val="0"/>
          <w:sz w:val="24"/>
          <w:szCs w:val="24"/>
        </w:rPr>
        <w:t>/</w:t>
      </w:r>
      <w:r>
        <w:rPr>
          <w:rFonts w:hint="eastAsia" w:ascii="宋体" w:hAnsi="宋体" w:eastAsia="宋体" w:cs="宋体"/>
          <w:sz w:val="24"/>
          <w:szCs w:val="24"/>
        </w:rPr>
        <w:t>。</w:t>
      </w:r>
    </w:p>
    <w:p>
      <w:pPr>
        <w:pStyle w:val="47"/>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6.3 环境保护</w:t>
      </w:r>
      <w:bookmarkEnd w:id="343"/>
      <w:bookmarkEnd w:id="344"/>
      <w:bookmarkEnd w:id="345"/>
      <w:bookmarkEnd w:id="346"/>
      <w:bookmarkEnd w:id="347"/>
      <w:bookmarkEnd w:id="348"/>
      <w:bookmarkEnd w:id="349"/>
      <w:bookmarkEnd w:id="350"/>
      <w:bookmarkEnd w:id="351"/>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因施工需要，经发包人批准，由承包人办理有关施工场地交通、环卫和施工噪音管理等手续，费用由承包人负责。</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经过城市道路的施工车辆，必须按交警、城管、运输等部门相关规定执行。由于施工车辆造成的道路、环境等污染，其责任和费用均由承包人承担。</w:t>
      </w:r>
    </w:p>
    <w:p>
      <w:pPr>
        <w:pStyle w:val="46"/>
        <w:tabs>
          <w:tab w:val="left" w:pos="6480"/>
        </w:tabs>
        <w:spacing w:after="0"/>
        <w:rPr>
          <w:rFonts w:hint="eastAsia" w:ascii="宋体" w:hAnsi="宋体" w:eastAsia="宋体" w:cs="宋体"/>
          <w:sz w:val="24"/>
          <w:szCs w:val="24"/>
        </w:rPr>
      </w:pPr>
      <w:bookmarkStart w:id="352" w:name="_Toc23917"/>
      <w:bookmarkStart w:id="353" w:name="_Toc26332"/>
      <w:bookmarkStart w:id="354" w:name="_Toc508111559"/>
      <w:r>
        <w:rPr>
          <w:rFonts w:hint="eastAsia" w:ascii="宋体" w:hAnsi="宋体" w:eastAsia="宋体" w:cs="宋体"/>
          <w:sz w:val="24"/>
          <w:szCs w:val="24"/>
        </w:rPr>
        <w:t>7. 工期和进度</w:t>
      </w:r>
      <w:bookmarkEnd w:id="338"/>
      <w:bookmarkEnd w:id="339"/>
      <w:bookmarkEnd w:id="340"/>
      <w:bookmarkEnd w:id="341"/>
      <w:bookmarkEnd w:id="342"/>
      <w:bookmarkEnd w:id="352"/>
      <w:bookmarkEnd w:id="353"/>
      <w:bookmarkEnd w:id="354"/>
    </w:p>
    <w:p>
      <w:pPr>
        <w:pStyle w:val="48"/>
        <w:tabs>
          <w:tab w:val="left" w:pos="6480"/>
        </w:tabs>
        <w:spacing w:before="0" w:after="0"/>
        <w:rPr>
          <w:rFonts w:hint="eastAsia" w:ascii="宋体" w:hAnsi="宋体" w:eastAsia="宋体" w:cs="宋体"/>
          <w:sz w:val="24"/>
          <w:szCs w:val="24"/>
        </w:rPr>
      </w:pPr>
      <w:bookmarkStart w:id="355" w:name="_Toc373227723"/>
      <w:bookmarkStart w:id="356" w:name="_Toc466476804"/>
      <w:bookmarkStart w:id="357" w:name="_Toc5769"/>
      <w:bookmarkStart w:id="358" w:name="_Toc389065289"/>
      <w:bookmarkStart w:id="359" w:name="_Toc27413"/>
      <w:bookmarkStart w:id="360" w:name="_Toc508111560"/>
      <w:bookmarkStart w:id="361" w:name="_Toc373478370"/>
      <w:r>
        <w:rPr>
          <w:rFonts w:hint="eastAsia" w:ascii="宋体" w:hAnsi="宋体" w:eastAsia="宋体" w:cs="宋体"/>
          <w:sz w:val="24"/>
          <w:szCs w:val="24"/>
        </w:rPr>
        <w:t>7.1 施工组织设计</w:t>
      </w:r>
      <w:bookmarkEnd w:id="355"/>
      <w:bookmarkEnd w:id="356"/>
      <w:bookmarkEnd w:id="357"/>
      <w:bookmarkEnd w:id="358"/>
      <w:bookmarkEnd w:id="359"/>
      <w:bookmarkEnd w:id="360"/>
      <w:bookmarkEnd w:id="361"/>
    </w:p>
    <w:p>
      <w:pPr>
        <w:pStyle w:val="47"/>
        <w:autoSpaceDE w:val="0"/>
        <w:autoSpaceDN w:val="0"/>
        <w:adjustRightInd w:val="0"/>
        <w:spacing w:line="360" w:lineRule="auto"/>
        <w:ind w:firstLine="480" w:firstLineChars="200"/>
        <w:jc w:val="left"/>
        <w:rPr>
          <w:rFonts w:hint="eastAsia" w:ascii="宋体" w:hAnsi="宋体" w:eastAsia="宋体" w:cs="宋体"/>
          <w:sz w:val="24"/>
          <w:szCs w:val="24"/>
          <w:u w:val="single"/>
        </w:rPr>
      </w:pPr>
      <w:bookmarkStart w:id="362" w:name="_Toc373227724"/>
      <w:bookmarkStart w:id="363" w:name="_Toc373478371"/>
      <w:bookmarkStart w:id="364" w:name="_Toc389065290"/>
      <w:bookmarkStart w:id="365" w:name="_Toc466476805"/>
      <w:r>
        <w:rPr>
          <w:rFonts w:hint="eastAsia" w:ascii="宋体" w:hAnsi="宋体" w:eastAsia="宋体" w:cs="宋体"/>
          <w:sz w:val="24"/>
          <w:szCs w:val="24"/>
        </w:rPr>
        <w:t>7.1.1 合</w:t>
      </w:r>
      <w:r>
        <w:rPr>
          <w:rFonts w:hint="eastAsia" w:ascii="宋体" w:hAnsi="宋体" w:eastAsia="宋体" w:cs="宋体"/>
          <w:kern w:val="0"/>
          <w:sz w:val="24"/>
          <w:szCs w:val="24"/>
        </w:rPr>
        <w:t>同当事人约定的施工组织设计应包括的其他内容：</w:t>
      </w:r>
      <w:r>
        <w:rPr>
          <w:rFonts w:hint="eastAsia" w:ascii="宋体" w:hAnsi="宋体" w:eastAsia="宋体" w:cs="宋体"/>
          <w:sz w:val="24"/>
          <w:szCs w:val="24"/>
          <w:u w:val="single"/>
        </w:rPr>
        <w:t>按通用条款7.1.1执行</w:t>
      </w:r>
      <w:r>
        <w:rPr>
          <w:rFonts w:hint="eastAsia" w:ascii="宋体" w:hAnsi="宋体" w:eastAsia="宋体" w:cs="宋体"/>
          <w:sz w:val="24"/>
          <w:szCs w:val="24"/>
        </w:rPr>
        <w:t>。</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 xml:space="preserve">7.1.2 </w:t>
      </w:r>
      <w:r>
        <w:rPr>
          <w:rFonts w:hint="eastAsia" w:ascii="宋体" w:hAnsi="宋体" w:eastAsia="宋体" w:cs="宋体"/>
          <w:kern w:val="0"/>
          <w:sz w:val="24"/>
          <w:szCs w:val="24"/>
        </w:rPr>
        <w:t>施工组织设计的提交和修改</w:t>
      </w:r>
    </w:p>
    <w:p>
      <w:pPr>
        <w:pStyle w:val="47"/>
        <w:autoSpaceDE w:val="0"/>
        <w:autoSpaceDN w:val="0"/>
        <w:adjustRightIn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kern w:val="0"/>
          <w:sz w:val="24"/>
          <w:szCs w:val="24"/>
        </w:rPr>
        <w:t>承包人提交详细施工组织设计的期限的约定：</w:t>
      </w:r>
      <w:r>
        <w:rPr>
          <w:rFonts w:hint="eastAsia" w:ascii="宋体" w:hAnsi="宋体" w:eastAsia="宋体" w:cs="宋体"/>
          <w:sz w:val="24"/>
          <w:szCs w:val="24"/>
          <w:u w:val="single"/>
        </w:rPr>
        <w:t>按通用条款7.1.2执行</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发包人和监理人在收到详细的施工组织设计后确认或提出修改意见的期限：</w:t>
      </w:r>
      <w:r>
        <w:rPr>
          <w:rFonts w:hint="eastAsia" w:ascii="宋体" w:hAnsi="宋体" w:eastAsia="宋体" w:cs="宋体"/>
          <w:sz w:val="24"/>
          <w:szCs w:val="24"/>
          <w:u w:val="single"/>
        </w:rPr>
        <w:t>按通用条款7.1.2执行。</w:t>
      </w:r>
    </w:p>
    <w:p>
      <w:pPr>
        <w:pStyle w:val="48"/>
        <w:tabs>
          <w:tab w:val="left" w:pos="6480"/>
        </w:tabs>
        <w:spacing w:before="0" w:after="0"/>
        <w:rPr>
          <w:rFonts w:hint="eastAsia" w:ascii="宋体" w:hAnsi="宋体" w:eastAsia="宋体" w:cs="宋体"/>
          <w:sz w:val="24"/>
          <w:szCs w:val="24"/>
        </w:rPr>
      </w:pPr>
      <w:bookmarkStart w:id="366" w:name="_Toc9673"/>
      <w:bookmarkStart w:id="367" w:name="_Toc508111561"/>
      <w:bookmarkStart w:id="368" w:name="_Toc9864"/>
      <w:r>
        <w:rPr>
          <w:rFonts w:hint="eastAsia" w:ascii="宋体" w:hAnsi="宋体" w:eastAsia="宋体" w:cs="宋体"/>
          <w:sz w:val="24"/>
          <w:szCs w:val="24"/>
        </w:rPr>
        <w:t>7</w:t>
      </w:r>
      <w:bookmarkStart w:id="369" w:name="_Toc297123514"/>
      <w:bookmarkStart w:id="370" w:name="_Toc297216173"/>
      <w:bookmarkStart w:id="371" w:name="_Toc300934966"/>
      <w:bookmarkStart w:id="372" w:name="_Toc312677479"/>
      <w:bookmarkStart w:id="373" w:name="_Toc304295541"/>
      <w:bookmarkStart w:id="374" w:name="_Toc303539123"/>
      <w:bookmarkStart w:id="375" w:name="_Toc312678005"/>
      <w:r>
        <w:rPr>
          <w:rFonts w:hint="eastAsia" w:ascii="宋体" w:hAnsi="宋体" w:eastAsia="宋体" w:cs="宋体"/>
          <w:sz w:val="24"/>
          <w:szCs w:val="24"/>
        </w:rPr>
        <w:t>.2 施工进度计划</w:t>
      </w:r>
      <w:bookmarkEnd w:id="362"/>
      <w:bookmarkEnd w:id="363"/>
      <w:bookmarkEnd w:id="364"/>
      <w:bookmarkEnd w:id="365"/>
      <w:bookmarkEnd w:id="366"/>
      <w:bookmarkEnd w:id="367"/>
      <w:bookmarkEnd w:id="368"/>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7.2.1施工进度计划的提交：</w:t>
      </w:r>
      <w:r>
        <w:rPr>
          <w:rFonts w:hint="eastAsia" w:ascii="宋体" w:hAnsi="宋体" w:eastAsia="宋体" w:cs="宋体"/>
          <w:sz w:val="24"/>
          <w:szCs w:val="24"/>
          <w:u w:val="single"/>
        </w:rPr>
        <w:t>承包人在收到发包人提供的图纸后七天内提交施工进度计划书。</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7.2.2 施工进度计划的修订</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发包人和监理人在收到修订的施工进度计划后确认或提出修改意见的期限：</w:t>
      </w:r>
      <w:r>
        <w:rPr>
          <w:rFonts w:hint="eastAsia" w:ascii="宋体" w:hAnsi="宋体" w:eastAsia="宋体" w:cs="宋体"/>
          <w:sz w:val="24"/>
          <w:szCs w:val="24"/>
          <w:u w:val="single"/>
        </w:rPr>
        <w:t>收到修订施工进度计划后7天</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376" w:name="_Toc389065291"/>
      <w:bookmarkStart w:id="377" w:name="_Toc508111562"/>
      <w:bookmarkStart w:id="378" w:name="_Toc6305"/>
      <w:bookmarkStart w:id="379" w:name="_Toc373227725"/>
      <w:bookmarkStart w:id="380" w:name="_Toc466476806"/>
      <w:bookmarkStart w:id="381" w:name="_Toc373478372"/>
      <w:bookmarkStart w:id="382" w:name="_Toc13827"/>
      <w:r>
        <w:rPr>
          <w:rFonts w:hint="eastAsia" w:ascii="宋体" w:hAnsi="宋体" w:eastAsia="宋体" w:cs="宋体"/>
          <w:sz w:val="24"/>
          <w:szCs w:val="24"/>
        </w:rPr>
        <w:t>7.3 开工</w:t>
      </w:r>
      <w:bookmarkEnd w:id="376"/>
      <w:bookmarkEnd w:id="377"/>
      <w:bookmarkEnd w:id="378"/>
      <w:bookmarkEnd w:id="379"/>
      <w:bookmarkEnd w:id="380"/>
      <w:bookmarkEnd w:id="381"/>
      <w:bookmarkEnd w:id="382"/>
    </w:p>
    <w:bookmarkEnd w:id="369"/>
    <w:bookmarkEnd w:id="370"/>
    <w:bookmarkEnd w:id="371"/>
    <w:bookmarkEnd w:id="372"/>
    <w:bookmarkEnd w:id="373"/>
    <w:bookmarkEnd w:id="374"/>
    <w:bookmarkEnd w:id="375"/>
    <w:p>
      <w:pPr>
        <w:pStyle w:val="47"/>
        <w:spacing w:line="360" w:lineRule="auto"/>
        <w:ind w:firstLine="480" w:firstLineChars="200"/>
        <w:jc w:val="left"/>
        <w:rPr>
          <w:rFonts w:hint="eastAsia" w:ascii="宋体" w:hAnsi="宋体" w:eastAsia="宋体" w:cs="宋体"/>
          <w:sz w:val="24"/>
          <w:szCs w:val="24"/>
        </w:rPr>
      </w:pPr>
      <w:bookmarkStart w:id="383" w:name="_Toc466476807"/>
      <w:bookmarkStart w:id="384" w:name="_Toc373227726"/>
      <w:bookmarkStart w:id="385" w:name="_Toc373478373"/>
      <w:bookmarkStart w:id="386" w:name="_Toc389065292"/>
      <w:r>
        <w:rPr>
          <w:rFonts w:hint="eastAsia" w:ascii="宋体" w:hAnsi="宋体" w:eastAsia="宋体" w:cs="宋体"/>
          <w:sz w:val="24"/>
          <w:szCs w:val="24"/>
        </w:rPr>
        <w:t>7.3.1 开工准备</w:t>
      </w:r>
    </w:p>
    <w:p>
      <w:pPr>
        <w:pStyle w:val="47"/>
        <w:spacing w:line="360" w:lineRule="auto"/>
        <w:ind w:firstLine="426"/>
        <w:jc w:val="left"/>
        <w:rPr>
          <w:rFonts w:hint="eastAsia" w:ascii="宋体" w:hAnsi="宋体" w:eastAsia="宋体" w:cs="宋体"/>
          <w:sz w:val="24"/>
          <w:szCs w:val="24"/>
          <w:u w:val="single"/>
        </w:rPr>
      </w:pPr>
      <w:r>
        <w:rPr>
          <w:rFonts w:hint="eastAsia" w:ascii="宋体" w:hAnsi="宋体" w:eastAsia="宋体" w:cs="宋体"/>
          <w:sz w:val="24"/>
          <w:szCs w:val="24"/>
        </w:rPr>
        <w:t>关于承包人提交</w:t>
      </w:r>
      <w:r>
        <w:rPr>
          <w:rFonts w:hint="eastAsia" w:ascii="宋体" w:hAnsi="宋体" w:eastAsia="宋体" w:cs="宋体"/>
          <w:kern w:val="0"/>
          <w:sz w:val="24"/>
          <w:szCs w:val="24"/>
        </w:rPr>
        <w:t>工程开工报审表的期限：</w:t>
      </w:r>
      <w:r>
        <w:rPr>
          <w:rFonts w:hint="eastAsia" w:ascii="宋体" w:hAnsi="宋体" w:eastAsia="宋体" w:cs="宋体"/>
          <w:sz w:val="24"/>
          <w:szCs w:val="24"/>
          <w:u w:val="single"/>
        </w:rPr>
        <w:t>按通用条款7.3.1执行</w:t>
      </w:r>
      <w:r>
        <w:rPr>
          <w:rFonts w:hint="eastAsia" w:ascii="宋体" w:hAnsi="宋体" w:eastAsia="宋体" w:cs="宋体"/>
          <w:sz w:val="24"/>
          <w:szCs w:val="24"/>
        </w:rPr>
        <w:t>。</w:t>
      </w:r>
    </w:p>
    <w:p>
      <w:pPr>
        <w:pStyle w:val="47"/>
        <w:spacing w:line="360" w:lineRule="auto"/>
        <w:ind w:firstLine="426"/>
        <w:jc w:val="left"/>
        <w:rPr>
          <w:rFonts w:hint="eastAsia" w:ascii="宋体" w:hAnsi="宋体" w:eastAsia="宋体" w:cs="宋体"/>
          <w:sz w:val="24"/>
          <w:szCs w:val="24"/>
          <w:u w:val="single"/>
        </w:rPr>
      </w:pPr>
      <w:r>
        <w:rPr>
          <w:rFonts w:hint="eastAsia" w:ascii="宋体" w:hAnsi="宋体" w:eastAsia="宋体" w:cs="宋体"/>
          <w:sz w:val="24"/>
          <w:szCs w:val="24"/>
        </w:rPr>
        <w:t>关于发包人应完成的其他开工准备工作及期限：</w:t>
      </w:r>
      <w:r>
        <w:rPr>
          <w:rFonts w:hint="eastAsia" w:ascii="宋体" w:hAnsi="宋体" w:eastAsia="宋体" w:cs="宋体"/>
          <w:sz w:val="24"/>
          <w:szCs w:val="24"/>
          <w:u w:val="single"/>
        </w:rPr>
        <w:t>按通用条款7.3.1执行</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关于承包人应完成的其他开工准备工作及期限：</w:t>
      </w:r>
      <w:r>
        <w:rPr>
          <w:rFonts w:hint="eastAsia" w:ascii="宋体" w:hAnsi="宋体" w:eastAsia="宋体" w:cs="宋体"/>
          <w:sz w:val="24"/>
          <w:szCs w:val="24"/>
          <w:u w:val="single"/>
        </w:rPr>
        <w:t>按通用条款7.3.1执</w:t>
      </w:r>
      <w:bookmarkEnd w:id="383"/>
      <w:bookmarkEnd w:id="384"/>
      <w:bookmarkEnd w:id="385"/>
      <w:bookmarkEnd w:id="386"/>
    </w:p>
    <w:p>
      <w:pPr>
        <w:pStyle w:val="48"/>
        <w:tabs>
          <w:tab w:val="left" w:pos="6480"/>
        </w:tabs>
        <w:spacing w:before="0" w:after="0"/>
        <w:rPr>
          <w:rFonts w:hint="eastAsia" w:ascii="宋体" w:hAnsi="宋体" w:eastAsia="宋体" w:cs="宋体"/>
          <w:sz w:val="24"/>
          <w:szCs w:val="24"/>
        </w:rPr>
      </w:pPr>
      <w:bookmarkStart w:id="387" w:name="_Toc508111564"/>
      <w:bookmarkStart w:id="388" w:name="_Toc466476808"/>
      <w:bookmarkStart w:id="389" w:name="_Toc31608"/>
      <w:bookmarkStart w:id="390" w:name="_Toc373227727"/>
      <w:bookmarkStart w:id="391" w:name="_Toc389065293"/>
      <w:bookmarkStart w:id="392" w:name="_Toc373478374"/>
      <w:bookmarkStart w:id="393" w:name="_Toc1531"/>
      <w:r>
        <w:rPr>
          <w:rFonts w:hint="eastAsia" w:ascii="宋体" w:hAnsi="宋体" w:eastAsia="宋体" w:cs="宋体"/>
          <w:sz w:val="24"/>
          <w:szCs w:val="24"/>
        </w:rPr>
        <w:t>7</w:t>
      </w:r>
      <w:bookmarkStart w:id="394" w:name="_Toc297123516"/>
      <w:bookmarkStart w:id="395" w:name="_Toc300934968"/>
      <w:bookmarkStart w:id="396" w:name="_Toc312677484"/>
      <w:bookmarkStart w:id="397" w:name="_Toc304295546"/>
      <w:bookmarkStart w:id="398" w:name="_Toc303539125"/>
      <w:bookmarkStart w:id="399" w:name="_Toc297216175"/>
      <w:bookmarkStart w:id="400" w:name="_Toc312678010"/>
      <w:r>
        <w:rPr>
          <w:rFonts w:hint="eastAsia" w:ascii="宋体" w:hAnsi="宋体" w:eastAsia="宋体" w:cs="宋体"/>
          <w:sz w:val="24"/>
          <w:szCs w:val="24"/>
        </w:rPr>
        <w:t>.5 工期延误</w:t>
      </w:r>
      <w:bookmarkEnd w:id="387"/>
      <w:bookmarkEnd w:id="388"/>
      <w:bookmarkEnd w:id="389"/>
      <w:bookmarkEnd w:id="390"/>
      <w:bookmarkEnd w:id="391"/>
      <w:bookmarkEnd w:id="392"/>
      <w:bookmarkEnd w:id="393"/>
    </w:p>
    <w:bookmarkEnd w:id="394"/>
    <w:bookmarkEnd w:id="395"/>
    <w:bookmarkEnd w:id="396"/>
    <w:bookmarkEnd w:id="397"/>
    <w:bookmarkEnd w:id="398"/>
    <w:bookmarkEnd w:id="399"/>
    <w:bookmarkEnd w:id="400"/>
    <w:p>
      <w:pPr>
        <w:pStyle w:val="47"/>
        <w:spacing w:line="360" w:lineRule="auto"/>
        <w:ind w:firstLine="480" w:firstLineChars="200"/>
        <w:jc w:val="left"/>
        <w:rPr>
          <w:rFonts w:hint="eastAsia" w:ascii="宋体" w:hAnsi="宋体" w:eastAsia="宋体" w:cs="宋体"/>
          <w:sz w:val="24"/>
          <w:szCs w:val="24"/>
        </w:rPr>
      </w:pPr>
      <w:bookmarkStart w:id="401" w:name="_Toc318581172"/>
      <w:bookmarkStart w:id="402" w:name="_Toc297123520"/>
      <w:bookmarkStart w:id="403" w:name="_Toc300934972"/>
      <w:bookmarkStart w:id="404" w:name="_Toc303539129"/>
      <w:bookmarkStart w:id="405" w:name="_Toc312678016"/>
      <w:bookmarkStart w:id="406" w:name="_Toc297216179"/>
      <w:bookmarkStart w:id="407" w:name="_Toc304295550"/>
      <w:r>
        <w:rPr>
          <w:rFonts w:hint="eastAsia" w:ascii="宋体" w:hAnsi="宋体" w:eastAsia="宋体" w:cs="宋体"/>
          <w:sz w:val="24"/>
          <w:szCs w:val="24"/>
        </w:rPr>
        <w:t>7.5.1 因发包人原因导致工期延误</w:t>
      </w:r>
    </w:p>
    <w:p>
      <w:pPr>
        <w:pStyle w:val="47"/>
        <w:numPr>
          <w:ilvl w:val="0"/>
          <w:numId w:val="1"/>
        </w:num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因发包人原因导致工期延误的其他情形：</w:t>
      </w:r>
      <w:r>
        <w:rPr>
          <w:rFonts w:hint="eastAsia" w:ascii="宋体" w:hAnsi="宋体" w:eastAsia="宋体" w:cs="宋体"/>
          <w:sz w:val="24"/>
          <w:szCs w:val="24"/>
          <w:u w:val="single"/>
        </w:rPr>
        <w:t>①重大图纸变更影响关健线路工序施工；②施工期间如因停电、停水连续8小时以上或一周内间歇性停水、停电累计8小时（含8小时）影响正常施工的。③在施工过程中遇到地下障碍物、溶洞、岩石、文物或地下管线的。</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bookmarkStart w:id="408" w:name="_Toc312678012"/>
      <w:bookmarkStart w:id="409" w:name="_Toc318581169"/>
      <w:bookmarkStart w:id="410" w:name="_Toc312677486"/>
      <w:bookmarkStart w:id="411" w:name="_Toc297123518"/>
      <w:bookmarkStart w:id="412" w:name="_Toc300934970"/>
      <w:bookmarkStart w:id="413" w:name="_Toc303539127"/>
      <w:bookmarkStart w:id="414" w:name="_Toc304295548"/>
      <w:bookmarkStart w:id="415" w:name="_Toc297216177"/>
      <w:r>
        <w:rPr>
          <w:rFonts w:hint="eastAsia" w:ascii="宋体" w:hAnsi="宋体" w:eastAsia="宋体" w:cs="宋体"/>
          <w:sz w:val="24"/>
          <w:szCs w:val="24"/>
        </w:rPr>
        <w:t>.5.2 因承包人原因导致工期延误</w:t>
      </w:r>
    </w:p>
    <w:bookmarkEnd w:id="408"/>
    <w:bookmarkEnd w:id="409"/>
    <w:bookmarkEnd w:id="410"/>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双方约定经监理工程师确认，工期相应顺延的情况：</w:t>
      </w:r>
      <w:r>
        <w:rPr>
          <w:rFonts w:hint="eastAsia" w:ascii="宋体" w:hAnsi="宋体" w:eastAsia="宋体" w:cs="宋体"/>
          <w:sz w:val="24"/>
          <w:szCs w:val="24"/>
          <w:u w:val="single"/>
        </w:rPr>
        <w:t>发包人完全无法提供工作面的、不可抗力的原因或本合同约定的可顺延工期的其他情况</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因</w:t>
      </w:r>
      <w:bookmarkStart w:id="416" w:name="_Toc318581170"/>
      <w:bookmarkStart w:id="417" w:name="_Toc312677487"/>
      <w:bookmarkStart w:id="418" w:name="_Toc312678013"/>
      <w:r>
        <w:rPr>
          <w:rFonts w:hint="eastAsia" w:ascii="宋体" w:hAnsi="宋体" w:eastAsia="宋体" w:cs="宋体"/>
          <w:sz w:val="24"/>
          <w:szCs w:val="24"/>
        </w:rPr>
        <w:t>承包人原因造成工期延误，逾期竣工违约金的计算方法为</w:t>
      </w:r>
      <w:bookmarkEnd w:id="401"/>
      <w:bookmarkEnd w:id="402"/>
      <w:bookmarkEnd w:id="403"/>
      <w:bookmarkEnd w:id="404"/>
      <w:bookmarkEnd w:id="405"/>
      <w:bookmarkEnd w:id="406"/>
      <w:bookmarkEnd w:id="407"/>
      <w:bookmarkEnd w:id="411"/>
      <w:bookmarkEnd w:id="412"/>
      <w:bookmarkEnd w:id="413"/>
      <w:bookmarkEnd w:id="414"/>
      <w:bookmarkEnd w:id="415"/>
      <w:bookmarkEnd w:id="416"/>
      <w:bookmarkEnd w:id="417"/>
      <w:bookmarkEnd w:id="418"/>
      <w:bookmarkStart w:id="419" w:name="_Toc20883"/>
      <w:bookmarkStart w:id="420" w:name="_Toc395382530"/>
      <w:bookmarkStart w:id="421" w:name="_Toc3191"/>
      <w:bookmarkStart w:id="422" w:name="_Toc4503"/>
      <w:bookmarkStart w:id="423" w:name="_Toc8705"/>
      <w:bookmarkStart w:id="424" w:name="_Toc459809151"/>
      <w:bookmarkStart w:id="425" w:name="_Toc16761"/>
      <w:bookmarkStart w:id="426" w:name="_Toc26835"/>
      <w:bookmarkStart w:id="427" w:name="_Toc1268"/>
      <w:r>
        <w:rPr>
          <w:rFonts w:hint="eastAsia" w:ascii="宋体" w:hAnsi="宋体" w:eastAsia="宋体" w:cs="宋体"/>
          <w:sz w:val="24"/>
          <w:szCs w:val="24"/>
        </w:rPr>
        <w:t>：</w:t>
      </w:r>
      <w:r>
        <w:rPr>
          <w:rFonts w:hint="eastAsia" w:ascii="宋体" w:hAnsi="宋体" w:eastAsia="宋体" w:cs="宋体"/>
          <w:sz w:val="24"/>
          <w:szCs w:val="24"/>
          <w:u w:val="single"/>
        </w:rPr>
        <w:t>非上述原因，承包人不能按合同约定的时间竣工，承包人应承担违约责任。应向发包人支付误期赔偿费（每天赔偿金额为合同价款扣除建安劳保费、发包人材料价款、暂估专业工程、暂列金额后的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pPr>
        <w:pStyle w:val="47"/>
        <w:spacing w:line="360" w:lineRule="auto"/>
        <w:ind w:firstLine="480" w:firstLineChars="200"/>
        <w:jc w:val="left"/>
        <w:rPr>
          <w:rFonts w:hint="eastAsia" w:ascii="宋体" w:hAnsi="宋体" w:eastAsia="宋体" w:cs="宋体"/>
          <w:sz w:val="24"/>
          <w:szCs w:val="24"/>
          <w:u w:val="single"/>
          <w:lang w:eastAsia="zh-CN"/>
        </w:rPr>
      </w:pPr>
      <w:r>
        <w:rPr>
          <w:rFonts w:hint="eastAsia" w:ascii="宋体" w:hAnsi="宋体" w:eastAsia="宋体" w:cs="宋体"/>
          <w:sz w:val="24"/>
          <w:szCs w:val="24"/>
          <w:u w:val="single"/>
        </w:rPr>
        <w:t>因承包人原因造成工期延误，逾期竣工违约金的上限：合同价扣除建安劳保费、发包人材料价款、暂估专业工程、暂列金额后的5%</w:t>
      </w:r>
      <w:r>
        <w:rPr>
          <w:rFonts w:hint="eastAsia" w:ascii="宋体" w:hAnsi="宋体" w:cs="宋体"/>
          <w:sz w:val="24"/>
          <w:szCs w:val="24"/>
          <w:u w:val="single"/>
          <w:lang w:eastAsia="zh-CN"/>
        </w:rPr>
        <w:t>。</w:t>
      </w:r>
    </w:p>
    <w:p>
      <w:pPr>
        <w:pStyle w:val="48"/>
        <w:tabs>
          <w:tab w:val="left" w:pos="6480"/>
        </w:tabs>
        <w:spacing w:before="0" w:after="0"/>
        <w:rPr>
          <w:rFonts w:hint="eastAsia" w:ascii="宋体" w:hAnsi="宋体" w:eastAsia="宋体" w:cs="宋体"/>
          <w:sz w:val="24"/>
          <w:szCs w:val="24"/>
        </w:rPr>
      </w:pPr>
      <w:bookmarkStart w:id="428" w:name="_Toc508111565"/>
      <w:r>
        <w:rPr>
          <w:rFonts w:hint="eastAsia" w:ascii="宋体" w:hAnsi="宋体" w:eastAsia="宋体" w:cs="宋体"/>
          <w:sz w:val="24"/>
          <w:szCs w:val="24"/>
        </w:rPr>
        <w:t>7.6 不利物质条件</w:t>
      </w:r>
      <w:bookmarkEnd w:id="419"/>
      <w:bookmarkEnd w:id="420"/>
      <w:bookmarkEnd w:id="421"/>
      <w:bookmarkEnd w:id="422"/>
      <w:bookmarkEnd w:id="423"/>
      <w:bookmarkEnd w:id="424"/>
      <w:bookmarkEnd w:id="425"/>
      <w:bookmarkEnd w:id="426"/>
      <w:bookmarkEnd w:id="427"/>
      <w:bookmarkEnd w:id="428"/>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不利物质条件的其他情形和有关约定：</w:t>
      </w:r>
      <w:r>
        <w:rPr>
          <w:rFonts w:hint="eastAsia" w:ascii="宋体" w:hAnsi="宋体" w:eastAsia="宋体" w:cs="宋体"/>
          <w:sz w:val="24"/>
          <w:szCs w:val="24"/>
          <w:u w:val="single"/>
        </w:rPr>
        <w:t>按通用条款7.6执行</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429" w:name="_Toc9692"/>
      <w:bookmarkStart w:id="430" w:name="_Toc16254"/>
      <w:bookmarkStart w:id="431" w:name="_Toc395382531"/>
      <w:bookmarkStart w:id="432" w:name="_Toc18542"/>
      <w:bookmarkStart w:id="433" w:name="_Toc30277"/>
      <w:bookmarkStart w:id="434" w:name="_Toc23648"/>
      <w:bookmarkStart w:id="435" w:name="_Toc8753"/>
      <w:bookmarkStart w:id="436" w:name="_Toc508111566"/>
      <w:bookmarkStart w:id="437" w:name="_Toc17576"/>
      <w:bookmarkStart w:id="438" w:name="_Toc459809152"/>
      <w:bookmarkStart w:id="439" w:name="_Toc23603"/>
      <w:r>
        <w:rPr>
          <w:rFonts w:hint="eastAsia" w:ascii="宋体" w:hAnsi="宋体" w:eastAsia="宋体" w:cs="宋体"/>
          <w:sz w:val="24"/>
          <w:szCs w:val="24"/>
        </w:rPr>
        <w:t>7.7 异常恶劣的气候条件</w:t>
      </w:r>
      <w:bookmarkEnd w:id="429"/>
      <w:bookmarkEnd w:id="430"/>
      <w:bookmarkEnd w:id="431"/>
      <w:bookmarkEnd w:id="432"/>
      <w:bookmarkEnd w:id="433"/>
      <w:bookmarkEnd w:id="434"/>
      <w:bookmarkEnd w:id="435"/>
      <w:bookmarkEnd w:id="436"/>
      <w:bookmarkEnd w:id="437"/>
      <w:bookmarkEnd w:id="438"/>
      <w:bookmarkEnd w:id="439"/>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以下情形视为异常恶劣的气候条件：</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（1）日降雨量大于200㎜的雨日超过 1 天；</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（2）10 级以上的持续 1 日的大风（以气象部门鉴定为准）</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（3）日气温超过 40 ℃的高温大于 2 天；</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（4）日气温低于 -10℃的严寒大于 2 天。</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（5）造成工程损坏的冰雹和大雪灾害；</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（6）6 级以上的地震；</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（7）50 年一遇及以上的洪水；</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（8）其他异常恶劣气候灾害。</w:t>
      </w:r>
    </w:p>
    <w:p>
      <w:pPr>
        <w:pStyle w:val="48"/>
        <w:tabs>
          <w:tab w:val="left" w:pos="6480"/>
        </w:tabs>
        <w:spacing w:before="0" w:after="0"/>
        <w:rPr>
          <w:rFonts w:hint="eastAsia" w:ascii="宋体" w:hAnsi="宋体" w:eastAsia="宋体" w:cs="宋体"/>
          <w:sz w:val="24"/>
          <w:szCs w:val="24"/>
        </w:rPr>
      </w:pPr>
      <w:bookmarkStart w:id="440" w:name="_Toc508111567"/>
      <w:bookmarkStart w:id="441" w:name="_Toc373227730"/>
      <w:bookmarkStart w:id="442" w:name="_Toc466476810"/>
      <w:bookmarkStart w:id="443" w:name="_Toc373478377"/>
      <w:bookmarkStart w:id="444" w:name="_Toc11684"/>
      <w:bookmarkStart w:id="445" w:name="_Toc389065296"/>
      <w:bookmarkStart w:id="446" w:name="_Toc13780"/>
      <w:r>
        <w:rPr>
          <w:rFonts w:hint="eastAsia" w:ascii="宋体" w:hAnsi="宋体" w:eastAsia="宋体" w:cs="宋体"/>
          <w:sz w:val="24"/>
          <w:szCs w:val="24"/>
        </w:rPr>
        <w:t>7.9 提前竣工</w:t>
      </w:r>
      <w:bookmarkEnd w:id="440"/>
      <w:bookmarkEnd w:id="441"/>
      <w:bookmarkEnd w:id="442"/>
      <w:bookmarkEnd w:id="443"/>
      <w:bookmarkEnd w:id="444"/>
      <w:bookmarkEnd w:id="445"/>
      <w:bookmarkEnd w:id="446"/>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7.9.2提前竣工（赶工）增加费的计算方法：</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6"/>
        <w:tabs>
          <w:tab w:val="left" w:pos="6480"/>
        </w:tabs>
        <w:rPr>
          <w:rFonts w:hint="eastAsia" w:ascii="宋体" w:hAnsi="宋体" w:eastAsia="宋体" w:cs="宋体"/>
          <w:sz w:val="24"/>
          <w:szCs w:val="24"/>
        </w:rPr>
      </w:pPr>
      <w:bookmarkStart w:id="447" w:name="_Toc351203640"/>
      <w:bookmarkStart w:id="448" w:name="_Toc28853"/>
      <w:bookmarkStart w:id="449" w:name="_Toc373478378"/>
      <w:bookmarkStart w:id="450" w:name="_Toc508111568"/>
      <w:bookmarkStart w:id="451" w:name="_Toc373227731"/>
      <w:bookmarkStart w:id="452" w:name="_Toc389065297"/>
      <w:bookmarkStart w:id="453" w:name="_Toc28033"/>
      <w:bookmarkStart w:id="454" w:name="_Toc466476811"/>
      <w:r>
        <w:rPr>
          <w:rFonts w:hint="eastAsia" w:ascii="宋体" w:hAnsi="宋体" w:eastAsia="宋体" w:cs="宋体"/>
          <w:sz w:val="24"/>
          <w:szCs w:val="24"/>
        </w:rPr>
        <w:t>8. 材料与设备</w:t>
      </w:r>
      <w:bookmarkEnd w:id="447"/>
      <w:bookmarkEnd w:id="448"/>
      <w:bookmarkEnd w:id="449"/>
      <w:bookmarkEnd w:id="450"/>
      <w:bookmarkEnd w:id="451"/>
      <w:bookmarkEnd w:id="452"/>
      <w:bookmarkEnd w:id="453"/>
      <w:bookmarkEnd w:id="454"/>
    </w:p>
    <w:bookmarkEnd w:id="299"/>
    <w:bookmarkEnd w:id="300"/>
    <w:bookmarkEnd w:id="301"/>
    <w:bookmarkEnd w:id="302"/>
    <w:bookmarkEnd w:id="303"/>
    <w:bookmarkEnd w:id="304"/>
    <w:bookmarkEnd w:id="305"/>
    <w:bookmarkEnd w:id="306"/>
    <w:bookmarkEnd w:id="307"/>
    <w:bookmarkEnd w:id="308"/>
    <w:p>
      <w:pPr>
        <w:pStyle w:val="48"/>
        <w:tabs>
          <w:tab w:val="left" w:pos="6480"/>
        </w:tabs>
        <w:spacing w:before="0" w:after="0"/>
        <w:rPr>
          <w:rFonts w:hint="eastAsia" w:ascii="宋体" w:hAnsi="宋体" w:eastAsia="宋体" w:cs="宋体"/>
          <w:sz w:val="24"/>
          <w:szCs w:val="24"/>
        </w:rPr>
      </w:pPr>
      <w:bookmarkStart w:id="455" w:name="_Toc373478379"/>
      <w:bookmarkStart w:id="456" w:name="_Toc508111569"/>
      <w:bookmarkStart w:id="457" w:name="_Toc373227732"/>
      <w:bookmarkStart w:id="458" w:name="_Toc9797"/>
      <w:bookmarkStart w:id="459" w:name="_Toc466476812"/>
      <w:bookmarkStart w:id="460" w:name="_Toc389065298"/>
      <w:bookmarkStart w:id="461" w:name="_Toc8490"/>
      <w:r>
        <w:rPr>
          <w:rFonts w:hint="eastAsia" w:ascii="宋体" w:hAnsi="宋体" w:eastAsia="宋体" w:cs="宋体"/>
          <w:sz w:val="24"/>
          <w:szCs w:val="24"/>
        </w:rPr>
        <w:t>8.2 承包人采购材料与工程设备</w:t>
      </w:r>
      <w:bookmarkEnd w:id="455"/>
      <w:bookmarkEnd w:id="456"/>
      <w:bookmarkEnd w:id="457"/>
      <w:bookmarkEnd w:id="458"/>
      <w:bookmarkEnd w:id="459"/>
      <w:bookmarkEnd w:id="460"/>
      <w:bookmarkEnd w:id="461"/>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bookmarkStart w:id="462" w:name="_Toc373478380"/>
      <w:bookmarkStart w:id="463" w:name="_Toc389065299"/>
      <w:bookmarkStart w:id="464" w:name="_Toc466476813"/>
      <w:bookmarkStart w:id="465" w:name="_Toc373227733"/>
      <w:r>
        <w:rPr>
          <w:rFonts w:hint="eastAsia" w:ascii="宋体" w:hAnsi="宋体" w:eastAsia="宋体" w:cs="宋体"/>
          <w:kern w:val="0"/>
          <w:sz w:val="24"/>
          <w:szCs w:val="24"/>
        </w:rPr>
        <w:t>除已标价工程量清单《发包人提供主要材料和工程设备一览表》（表-21）中明确的材料、工程设备外，由承包人负责材料和工程设备的采购、运输和保管。《</w:t>
      </w:r>
      <w:r>
        <w:rPr>
          <w:rFonts w:hint="eastAsia" w:ascii="宋体" w:hAnsi="宋体" w:eastAsia="宋体" w:cs="宋体"/>
          <w:sz w:val="24"/>
          <w:szCs w:val="24"/>
        </w:rPr>
        <w:t>承包人提供主要材料和工程设备一览表》</w:t>
      </w:r>
      <w:r>
        <w:rPr>
          <w:rFonts w:hint="eastAsia" w:ascii="宋体" w:hAnsi="宋体" w:eastAsia="宋体" w:cs="宋体"/>
          <w:kern w:val="0"/>
          <w:sz w:val="24"/>
          <w:szCs w:val="24"/>
        </w:rPr>
        <w:t>（表-22）见已标价工程量清单。</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对发包人在招标时有“参照或相当于**品牌、级别”约定的材料或设备，承包人采购时必须按类似于或优于所约定品牌、等级进行采购，施工期间该部分材料或设备如未超过招标约定的风险幅度的，结算时按投标单价支付，不得调整。</w:t>
      </w:r>
    </w:p>
    <w:p>
      <w:pPr>
        <w:pStyle w:val="48"/>
        <w:tabs>
          <w:tab w:val="left" w:pos="6480"/>
        </w:tabs>
        <w:spacing w:before="0" w:after="0"/>
        <w:rPr>
          <w:rFonts w:hint="eastAsia" w:ascii="宋体" w:hAnsi="宋体" w:eastAsia="宋体" w:cs="宋体"/>
          <w:sz w:val="24"/>
          <w:szCs w:val="24"/>
        </w:rPr>
      </w:pPr>
      <w:bookmarkStart w:id="466" w:name="_Toc23165"/>
      <w:bookmarkStart w:id="467" w:name="_Toc465"/>
      <w:bookmarkStart w:id="468" w:name="_Toc508111570"/>
      <w:r>
        <w:rPr>
          <w:rFonts w:hint="eastAsia" w:ascii="宋体" w:hAnsi="宋体" w:eastAsia="宋体" w:cs="宋体"/>
          <w:sz w:val="24"/>
          <w:szCs w:val="24"/>
        </w:rPr>
        <w:t>8</w:t>
      </w:r>
      <w:bookmarkStart w:id="469" w:name="_Toc292559372"/>
      <w:bookmarkStart w:id="470" w:name="_Toc296890995"/>
      <w:bookmarkStart w:id="471" w:name="_Toc304295556"/>
      <w:bookmarkStart w:id="472" w:name="_Toc297048353"/>
      <w:bookmarkStart w:id="473" w:name="_Toc297120467"/>
      <w:bookmarkStart w:id="474" w:name="_Toc297123527"/>
      <w:bookmarkStart w:id="475" w:name="_Toc312677493"/>
      <w:bookmarkStart w:id="476" w:name="_Toc296347166"/>
      <w:bookmarkStart w:id="477" w:name="_Toc292559877"/>
      <w:bookmarkStart w:id="478" w:name="_Toc300934979"/>
      <w:bookmarkStart w:id="479" w:name="_Toc296503167"/>
      <w:bookmarkStart w:id="480" w:name="_Toc303539136"/>
      <w:bookmarkStart w:id="481" w:name="_Toc296891207"/>
      <w:bookmarkStart w:id="482" w:name="_Toc296346668"/>
      <w:bookmarkStart w:id="483" w:name="_Toc312678019"/>
      <w:bookmarkStart w:id="484" w:name="_Toc280868654"/>
      <w:bookmarkStart w:id="485" w:name="_Toc297216186"/>
      <w:bookmarkStart w:id="486" w:name="_Toc296944506"/>
      <w:bookmarkStart w:id="487" w:name="_Toc280868655"/>
      <w:bookmarkStart w:id="488" w:name="_Toc280868656"/>
      <w:bookmarkStart w:id="489" w:name="_Toc267251424"/>
      <w:r>
        <w:rPr>
          <w:rFonts w:hint="eastAsia" w:ascii="宋体" w:hAnsi="宋体" w:eastAsia="宋体" w:cs="宋体"/>
          <w:sz w:val="24"/>
          <w:szCs w:val="24"/>
        </w:rPr>
        <w:t>.4 材料与工程设备的保管与使用</w:t>
      </w:r>
      <w:bookmarkEnd w:id="462"/>
      <w:bookmarkEnd w:id="463"/>
      <w:bookmarkEnd w:id="464"/>
      <w:bookmarkEnd w:id="465"/>
      <w:bookmarkEnd w:id="466"/>
      <w:bookmarkEnd w:id="467"/>
      <w:bookmarkEnd w:id="468"/>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Pr>
        <w:pStyle w:val="47"/>
        <w:tabs>
          <w:tab w:val="left" w:pos="6480"/>
        </w:tabs>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8</w:t>
      </w:r>
      <w:bookmarkStart w:id="490" w:name="_Toc292559878"/>
      <w:bookmarkStart w:id="491" w:name="_Toc292559373"/>
      <w:bookmarkStart w:id="492" w:name="_Toc304295557"/>
      <w:bookmarkStart w:id="493" w:name="_Toc296346669"/>
      <w:bookmarkStart w:id="494" w:name="_Toc296890996"/>
      <w:bookmarkStart w:id="495" w:name="_Toc297048354"/>
      <w:bookmarkStart w:id="496" w:name="_Toc300934980"/>
      <w:bookmarkStart w:id="497" w:name="_Toc296944507"/>
      <w:bookmarkStart w:id="498" w:name="_Toc296891208"/>
      <w:bookmarkStart w:id="499" w:name="_Toc297120468"/>
      <w:bookmarkStart w:id="500" w:name="_Toc297123528"/>
      <w:bookmarkStart w:id="501" w:name="_Toc303539137"/>
      <w:bookmarkStart w:id="502" w:name="_Toc318581173"/>
      <w:bookmarkStart w:id="503" w:name="_Toc296347167"/>
      <w:bookmarkStart w:id="504" w:name="_Toc312678020"/>
      <w:bookmarkStart w:id="505" w:name="_Toc296503168"/>
      <w:bookmarkStart w:id="506" w:name="_Toc297216187"/>
      <w:bookmarkStart w:id="507" w:name="_Toc312677494"/>
      <w:r>
        <w:rPr>
          <w:rFonts w:hint="eastAsia" w:ascii="宋体" w:hAnsi="宋体" w:eastAsia="宋体" w:cs="宋体"/>
          <w:sz w:val="24"/>
          <w:szCs w:val="24"/>
        </w:rPr>
        <w:t>.4.1发包人供应的材料设备的保管费用的承担：</w:t>
      </w:r>
      <w:r>
        <w:rPr>
          <w:rFonts w:hint="eastAsia" w:ascii="宋体" w:hAnsi="宋体" w:eastAsia="宋体" w:cs="宋体"/>
          <w:sz w:val="24"/>
          <w:szCs w:val="24"/>
          <w:u w:val="single"/>
        </w:rPr>
        <w:t>8.4.1发包人供应的材料设备的保管费用的承担：按通用条款8.4执行。</w:t>
      </w:r>
    </w:p>
    <w:bookmarkEnd w:id="490"/>
    <w:bookmarkEnd w:id="491"/>
    <w:p>
      <w:pPr>
        <w:pStyle w:val="48"/>
        <w:tabs>
          <w:tab w:val="left" w:pos="6480"/>
        </w:tabs>
        <w:spacing w:before="0" w:after="0"/>
        <w:rPr>
          <w:rFonts w:hint="eastAsia" w:ascii="宋体" w:hAnsi="宋体" w:eastAsia="宋体" w:cs="宋体"/>
          <w:sz w:val="24"/>
          <w:szCs w:val="24"/>
        </w:rPr>
      </w:pPr>
      <w:bookmarkStart w:id="508" w:name="_Toc508111571"/>
      <w:bookmarkStart w:id="509" w:name="_Toc2955"/>
      <w:bookmarkStart w:id="510" w:name="_Toc2533"/>
      <w:bookmarkStart w:id="511" w:name="_Toc389065300"/>
      <w:bookmarkStart w:id="512" w:name="_Toc373478381"/>
      <w:bookmarkStart w:id="513" w:name="_Toc373227734"/>
      <w:bookmarkStart w:id="514" w:name="_Toc466476814"/>
      <w:r>
        <w:rPr>
          <w:rFonts w:hint="eastAsia" w:ascii="宋体" w:hAnsi="宋体" w:eastAsia="宋体" w:cs="宋体"/>
          <w:sz w:val="24"/>
          <w:szCs w:val="24"/>
        </w:rPr>
        <w:t>8.6 样品</w:t>
      </w:r>
      <w:bookmarkEnd w:id="508"/>
      <w:bookmarkEnd w:id="509"/>
      <w:bookmarkEnd w:id="510"/>
      <w:bookmarkEnd w:id="511"/>
      <w:bookmarkEnd w:id="512"/>
      <w:bookmarkEnd w:id="513"/>
      <w:bookmarkEnd w:id="514"/>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8.6.1 样品的报送与封存</w:t>
      </w:r>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需要承包人报送样品的材料或工程设备，样品的种类、名称、规格、数量要求：</w:t>
      </w:r>
      <w:r>
        <w:rPr>
          <w:rFonts w:hint="eastAsia" w:ascii="宋体" w:hAnsi="宋体" w:eastAsia="宋体" w:cs="宋体"/>
          <w:sz w:val="24"/>
          <w:szCs w:val="24"/>
          <w:u w:val="single"/>
        </w:rPr>
        <w:t>主要材料涉及品种、款式、颜色等方面内容的，承包人应提交准备合格的材料样品送发包人选定。</w:t>
      </w:r>
      <w:bookmarkStart w:id="515" w:name="_Toc508111572"/>
      <w:bookmarkStart w:id="516" w:name="_Toc466476815"/>
      <w:bookmarkStart w:id="517" w:name="_Toc373478382"/>
      <w:bookmarkStart w:id="518" w:name="_Toc389065301"/>
      <w:bookmarkStart w:id="519" w:name="_Toc27116"/>
      <w:bookmarkStart w:id="520" w:name="_Toc23744"/>
      <w:bookmarkStart w:id="521" w:name="_Toc373227735"/>
    </w:p>
    <w:p>
      <w:pPr>
        <w:pStyle w:val="48"/>
        <w:tabs>
          <w:tab w:val="left" w:pos="6480"/>
        </w:tabs>
        <w:spacing w:before="0" w:after="0"/>
        <w:rPr>
          <w:rFonts w:hint="eastAsia" w:ascii="宋体" w:hAnsi="宋体" w:eastAsia="宋体" w:cs="宋体"/>
          <w:sz w:val="24"/>
          <w:szCs w:val="24"/>
        </w:rPr>
      </w:pPr>
      <w:r>
        <w:rPr>
          <w:rFonts w:hint="eastAsia" w:ascii="宋体" w:hAnsi="宋体" w:eastAsia="宋体" w:cs="宋体"/>
          <w:sz w:val="24"/>
          <w:szCs w:val="24"/>
        </w:rPr>
        <w:t>8.8 施工设备和临时设施</w:t>
      </w:r>
      <w:bookmarkEnd w:id="515"/>
      <w:bookmarkEnd w:id="516"/>
      <w:bookmarkEnd w:id="517"/>
      <w:bookmarkEnd w:id="518"/>
      <w:bookmarkEnd w:id="519"/>
      <w:bookmarkEnd w:id="520"/>
      <w:bookmarkEnd w:id="521"/>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8.8.1 承包人提供的施工设备和临时设施</w:t>
      </w:r>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6。</w:t>
      </w:r>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关于修建临时设施费用承担的约定：</w:t>
      </w:r>
    </w:p>
    <w:p>
      <w:pPr>
        <w:pStyle w:val="47"/>
        <w:autoSpaceDE w:val="0"/>
        <w:autoSpaceDN w:val="0"/>
        <w:adjustRightIn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①承包人的临时用地（含项目部驻地等）租用费（含拆迁补偿）、临时用地的环保、恢复、临时用地的青苗补偿及地面附着物拆除等费用均由承包人负责，以上费用在投标报价中综合考虑。</w:t>
      </w:r>
    </w:p>
    <w:p>
      <w:pPr>
        <w:pStyle w:val="47"/>
        <w:autoSpaceDE w:val="0"/>
        <w:autoSpaceDN w:val="0"/>
        <w:adjustRightIn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②承包人负责合同实施期间其合同段内临时交通道路（含场内外连接公共交通道路）和交通设施的修建、维修、养护和交通管理工作，并承担一切费用。</w:t>
      </w:r>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8.8.2 发包人提供的施工设备和临时设施</w:t>
      </w:r>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发包人提供的施工设备和临时设施：</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发包人提供的施工设备和临时设施的运行、维护、拆除、清运费用的承担人：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pStyle w:val="46"/>
        <w:tabs>
          <w:tab w:val="left" w:pos="6480"/>
        </w:tabs>
        <w:spacing w:after="0"/>
        <w:rPr>
          <w:rFonts w:hint="eastAsia" w:ascii="宋体" w:hAnsi="宋体" w:eastAsia="宋体" w:cs="宋体"/>
          <w:sz w:val="24"/>
          <w:szCs w:val="24"/>
        </w:rPr>
      </w:pPr>
      <w:bookmarkStart w:id="522" w:name="_Toc373227736"/>
      <w:bookmarkStart w:id="523" w:name="_Toc351203641"/>
      <w:bookmarkStart w:id="524" w:name="_Toc389065302"/>
      <w:bookmarkStart w:id="525" w:name="_Toc10776"/>
      <w:bookmarkStart w:id="526" w:name="_Toc466476816"/>
      <w:bookmarkStart w:id="527" w:name="_Toc508111573"/>
      <w:bookmarkStart w:id="528" w:name="_Toc10075"/>
      <w:bookmarkStart w:id="529" w:name="_Toc373478383"/>
      <w:r>
        <w:rPr>
          <w:rFonts w:hint="eastAsia" w:ascii="宋体" w:hAnsi="宋体" w:eastAsia="宋体" w:cs="宋体"/>
          <w:sz w:val="24"/>
          <w:szCs w:val="24"/>
        </w:rPr>
        <w:t>9</w:t>
      </w:r>
      <w:bookmarkEnd w:id="487"/>
      <w:bookmarkEnd w:id="488"/>
      <w:bookmarkEnd w:id="489"/>
      <w:bookmarkStart w:id="530" w:name="_Toc312677495"/>
      <w:bookmarkStart w:id="531" w:name="_Toc312678021"/>
      <w:bookmarkStart w:id="532" w:name="_Toc297123533"/>
      <w:bookmarkStart w:id="533" w:name="_Toc300934982"/>
      <w:bookmarkStart w:id="534" w:name="_Toc304295559"/>
      <w:bookmarkStart w:id="535" w:name="_Toc297216192"/>
      <w:bookmarkStart w:id="536" w:name="_Toc303539139"/>
      <w:bookmarkStart w:id="537" w:name="_Toc267251427"/>
      <w:bookmarkStart w:id="538" w:name="_Toc296944512"/>
      <w:bookmarkStart w:id="539" w:name="_Toc296346674"/>
      <w:bookmarkStart w:id="540" w:name="_Toc296891001"/>
      <w:bookmarkStart w:id="541" w:name="_Toc297048359"/>
      <w:bookmarkStart w:id="542" w:name="_Toc296503173"/>
      <w:bookmarkStart w:id="543" w:name="_Toc292559378"/>
      <w:bookmarkStart w:id="544" w:name="_Toc267251428"/>
      <w:bookmarkStart w:id="545" w:name="_Toc292559883"/>
      <w:bookmarkStart w:id="546" w:name="_Toc296891213"/>
      <w:bookmarkStart w:id="547" w:name="_Toc296347172"/>
      <w:bookmarkStart w:id="548" w:name="_Toc297120473"/>
      <w:r>
        <w:rPr>
          <w:rFonts w:hint="eastAsia" w:ascii="宋体" w:hAnsi="宋体" w:eastAsia="宋体" w:cs="宋体"/>
          <w:sz w:val="24"/>
          <w:szCs w:val="24"/>
        </w:rPr>
        <w:t>. 试验与检验</w:t>
      </w:r>
      <w:bookmarkEnd w:id="522"/>
      <w:bookmarkEnd w:id="523"/>
      <w:bookmarkEnd w:id="524"/>
      <w:bookmarkEnd w:id="525"/>
      <w:bookmarkEnd w:id="526"/>
      <w:bookmarkEnd w:id="527"/>
      <w:bookmarkEnd w:id="528"/>
      <w:bookmarkEnd w:id="529"/>
    </w:p>
    <w:bookmarkEnd w:id="530"/>
    <w:bookmarkEnd w:id="531"/>
    <w:bookmarkEnd w:id="532"/>
    <w:bookmarkEnd w:id="533"/>
    <w:bookmarkEnd w:id="534"/>
    <w:bookmarkEnd w:id="535"/>
    <w:bookmarkEnd w:id="536"/>
    <w:p>
      <w:pPr>
        <w:pStyle w:val="48"/>
        <w:tabs>
          <w:tab w:val="left" w:pos="6480"/>
        </w:tabs>
        <w:spacing w:before="0" w:after="0"/>
        <w:rPr>
          <w:rFonts w:hint="eastAsia" w:ascii="宋体" w:hAnsi="宋体" w:eastAsia="宋体" w:cs="宋体"/>
          <w:sz w:val="24"/>
          <w:szCs w:val="24"/>
        </w:rPr>
      </w:pPr>
      <w:bookmarkStart w:id="549" w:name="_Toc373478384"/>
      <w:bookmarkStart w:id="550" w:name="_Toc466476817"/>
      <w:bookmarkStart w:id="551" w:name="_Toc373227737"/>
      <w:bookmarkStart w:id="552" w:name="_Toc12467"/>
      <w:bookmarkStart w:id="553" w:name="_Toc389065303"/>
      <w:bookmarkStart w:id="554" w:name="_Toc2011"/>
      <w:bookmarkStart w:id="555" w:name="_Toc508111574"/>
      <w:r>
        <w:rPr>
          <w:rFonts w:hint="eastAsia" w:ascii="宋体" w:hAnsi="宋体" w:eastAsia="宋体" w:cs="宋体"/>
          <w:sz w:val="24"/>
          <w:szCs w:val="24"/>
        </w:rPr>
        <w:t>9</w:t>
      </w:r>
      <w:bookmarkStart w:id="556" w:name="_Toc312678022"/>
      <w:bookmarkStart w:id="557" w:name="_Toc297216193"/>
      <w:bookmarkStart w:id="558" w:name="_Toc304295560"/>
      <w:bookmarkStart w:id="559" w:name="_Toc300934983"/>
      <w:bookmarkStart w:id="560" w:name="_Toc297123534"/>
      <w:bookmarkStart w:id="561" w:name="_Toc312677496"/>
      <w:bookmarkStart w:id="562" w:name="_Toc303539140"/>
      <w:r>
        <w:rPr>
          <w:rFonts w:hint="eastAsia" w:ascii="宋体" w:hAnsi="宋体" w:eastAsia="宋体" w:cs="宋体"/>
          <w:sz w:val="24"/>
          <w:szCs w:val="24"/>
        </w:rPr>
        <w:t>.1 试验设备与试验人员</w:t>
      </w:r>
      <w:bookmarkEnd w:id="549"/>
      <w:bookmarkEnd w:id="550"/>
      <w:bookmarkEnd w:id="551"/>
      <w:bookmarkEnd w:id="552"/>
      <w:bookmarkEnd w:id="553"/>
      <w:bookmarkEnd w:id="554"/>
      <w:bookmarkEnd w:id="555"/>
    </w:p>
    <w:bookmarkEnd w:id="556"/>
    <w:bookmarkEnd w:id="557"/>
    <w:bookmarkEnd w:id="558"/>
    <w:bookmarkEnd w:id="559"/>
    <w:bookmarkEnd w:id="560"/>
    <w:bookmarkEnd w:id="561"/>
    <w:bookmarkEnd w:id="562"/>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w:t>
      </w:r>
      <w:bookmarkStart w:id="563" w:name="_Toc300934984"/>
      <w:bookmarkStart w:id="564" w:name="_Toc303539141"/>
      <w:bookmarkStart w:id="565" w:name="_Toc297123535"/>
      <w:bookmarkStart w:id="566" w:name="_Toc312677497"/>
      <w:bookmarkStart w:id="567" w:name="_Toc312678023"/>
      <w:bookmarkStart w:id="568" w:name="_Toc304295561"/>
      <w:bookmarkStart w:id="569" w:name="_Toc297216194"/>
      <w:bookmarkStart w:id="570" w:name="_Toc318581174"/>
      <w:r>
        <w:rPr>
          <w:rFonts w:hint="eastAsia" w:ascii="宋体" w:hAnsi="宋体" w:eastAsia="宋体" w:cs="宋体"/>
          <w:sz w:val="24"/>
          <w:szCs w:val="24"/>
        </w:rPr>
        <w:t>.1.2 试验设备</w:t>
      </w:r>
    </w:p>
    <w:p>
      <w:pPr>
        <w:pStyle w:val="47"/>
        <w:tabs>
          <w:tab w:val="left" w:pos="6480"/>
        </w:tabs>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施工现场需要配置的试验场所：</w:t>
      </w:r>
      <w:bookmarkEnd w:id="563"/>
      <w:bookmarkEnd w:id="564"/>
      <w:bookmarkEnd w:id="565"/>
      <w:bookmarkEnd w:id="566"/>
      <w:bookmarkEnd w:id="567"/>
      <w:bookmarkEnd w:id="568"/>
      <w:bookmarkEnd w:id="569"/>
      <w:bookmarkStart w:id="571" w:name="_Toc297123536"/>
      <w:bookmarkStart w:id="572" w:name="_Toc297216195"/>
      <w:bookmarkStart w:id="573" w:name="_Toc304295562"/>
      <w:bookmarkStart w:id="574" w:name="_Toc300934985"/>
      <w:bookmarkStart w:id="575" w:name="_Toc303539142"/>
      <w:bookmarkStart w:id="576" w:name="_Toc312678024"/>
      <w:bookmarkStart w:id="577" w:name="_Toc312677498"/>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7"/>
        <w:tabs>
          <w:tab w:val="left" w:pos="6480"/>
        </w:tabs>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施工现场需要配备的试验设备：</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7"/>
        <w:tabs>
          <w:tab w:val="left" w:pos="6480"/>
        </w:tabs>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施工现场需要具备的其他试验条件：</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578" w:name="_Toc508111575"/>
      <w:bookmarkStart w:id="579" w:name="_Toc373478385"/>
      <w:bookmarkStart w:id="580" w:name="_Toc389065304"/>
      <w:bookmarkStart w:id="581" w:name="_Toc17201"/>
      <w:bookmarkStart w:id="582" w:name="_Toc373227738"/>
      <w:bookmarkStart w:id="583" w:name="_Toc290"/>
      <w:bookmarkStart w:id="584" w:name="_Toc466476818"/>
      <w:r>
        <w:rPr>
          <w:rFonts w:hint="eastAsia" w:ascii="宋体" w:hAnsi="宋体" w:eastAsia="宋体" w:cs="宋体"/>
          <w:sz w:val="24"/>
          <w:szCs w:val="24"/>
        </w:rPr>
        <w:t>9.4 现场工艺试验</w:t>
      </w:r>
      <w:bookmarkEnd w:id="578"/>
      <w:bookmarkEnd w:id="579"/>
      <w:bookmarkEnd w:id="580"/>
      <w:bookmarkEnd w:id="581"/>
      <w:bookmarkEnd w:id="582"/>
      <w:bookmarkEnd w:id="583"/>
      <w:bookmarkEnd w:id="584"/>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现场工艺试验的有关约定：</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585" w:name="_Toc4776"/>
      <w:bookmarkStart w:id="586" w:name="_Toc466476819"/>
      <w:bookmarkStart w:id="587" w:name="_Toc17660"/>
      <w:bookmarkStart w:id="588" w:name="_Toc508111576"/>
      <w:r>
        <w:rPr>
          <w:rFonts w:hint="eastAsia" w:ascii="宋体" w:hAnsi="宋体" w:eastAsia="宋体" w:cs="宋体"/>
          <w:sz w:val="24"/>
          <w:szCs w:val="24"/>
        </w:rPr>
        <w:t>9.5 检验费用</w:t>
      </w:r>
      <w:bookmarkEnd w:id="585"/>
      <w:bookmarkEnd w:id="586"/>
      <w:bookmarkEnd w:id="587"/>
      <w:bookmarkEnd w:id="588"/>
    </w:p>
    <w:p>
      <w:pPr>
        <w:pStyle w:val="47"/>
        <w:tabs>
          <w:tab w:val="left" w:pos="6480"/>
        </w:tabs>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根据《建设工程质量检测管理办法》（建设部令第141号）以及</w:t>
      </w:r>
      <w:r>
        <w:rPr>
          <w:rFonts w:hint="eastAsia" w:ascii="宋体" w:hAnsi="宋体" w:eastAsia="宋体" w:cs="宋体"/>
          <w:bCs/>
          <w:sz w:val="24"/>
          <w:szCs w:val="24"/>
        </w:rPr>
        <w:t>《广西壮族自治区建设工程质量检测管理规定》（桂建管〔2013〕11号）</w:t>
      </w:r>
      <w:r>
        <w:rPr>
          <w:rFonts w:hint="eastAsia" w:ascii="宋体" w:hAnsi="宋体" w:eastAsia="宋体" w:cs="宋体"/>
          <w:sz w:val="24"/>
          <w:szCs w:val="24"/>
        </w:rPr>
        <w:t>规定，工程质量检测业务由发包人委托有相应资质的检测机构检测。费用由发包人直接支付给检测机构，不计入合同价款内。检验试验配合费按费用定额规定计取，计入本合同价款内。</w:t>
      </w:r>
    </w:p>
    <w:bookmarkEnd w:id="570"/>
    <w:bookmarkEnd w:id="571"/>
    <w:bookmarkEnd w:id="572"/>
    <w:bookmarkEnd w:id="573"/>
    <w:bookmarkEnd w:id="574"/>
    <w:bookmarkEnd w:id="575"/>
    <w:bookmarkEnd w:id="576"/>
    <w:bookmarkEnd w:id="577"/>
    <w:p>
      <w:pPr>
        <w:pStyle w:val="46"/>
        <w:tabs>
          <w:tab w:val="left" w:pos="6480"/>
        </w:tabs>
        <w:spacing w:after="0"/>
        <w:rPr>
          <w:rFonts w:hint="eastAsia" w:ascii="宋体" w:hAnsi="宋体" w:eastAsia="宋体" w:cs="宋体"/>
          <w:sz w:val="24"/>
          <w:szCs w:val="24"/>
        </w:rPr>
      </w:pPr>
      <w:bookmarkStart w:id="589" w:name="_Toc373478386"/>
      <w:bookmarkStart w:id="590" w:name="_Toc373227739"/>
      <w:bookmarkStart w:id="591" w:name="_Toc15628"/>
      <w:bookmarkStart w:id="592" w:name="_Toc466476820"/>
      <w:bookmarkStart w:id="593" w:name="_Toc351203642"/>
      <w:bookmarkStart w:id="594" w:name="_Toc389065305"/>
      <w:bookmarkStart w:id="595" w:name="_Toc20257"/>
      <w:bookmarkStart w:id="596" w:name="_Toc508111577"/>
      <w:r>
        <w:rPr>
          <w:rFonts w:hint="eastAsia" w:ascii="宋体" w:hAnsi="宋体" w:eastAsia="宋体" w:cs="宋体"/>
          <w:sz w:val="24"/>
          <w:szCs w:val="24"/>
        </w:rPr>
        <w:t>1</w:t>
      </w:r>
      <w:bookmarkEnd w:id="537"/>
      <w:bookmarkEnd w:id="538"/>
      <w:bookmarkEnd w:id="539"/>
      <w:bookmarkEnd w:id="540"/>
      <w:bookmarkEnd w:id="541"/>
      <w:bookmarkEnd w:id="542"/>
      <w:bookmarkEnd w:id="543"/>
      <w:bookmarkEnd w:id="544"/>
      <w:bookmarkEnd w:id="545"/>
      <w:bookmarkEnd w:id="546"/>
      <w:bookmarkEnd w:id="547"/>
      <w:bookmarkEnd w:id="548"/>
      <w:bookmarkStart w:id="597" w:name="_Toc296891021"/>
      <w:bookmarkStart w:id="598" w:name="_Toc300934989"/>
      <w:bookmarkStart w:id="599" w:name="_Toc297123540"/>
      <w:bookmarkStart w:id="600" w:name="_Toc297216199"/>
      <w:bookmarkStart w:id="601" w:name="_Toc296347192"/>
      <w:bookmarkStart w:id="602" w:name="_Toc296503193"/>
      <w:bookmarkStart w:id="603" w:name="_Toc292559903"/>
      <w:bookmarkStart w:id="604" w:name="_Toc304295566"/>
      <w:bookmarkStart w:id="605" w:name="_Toc292559398"/>
      <w:bookmarkStart w:id="606" w:name="_Toc296944532"/>
      <w:bookmarkStart w:id="607" w:name="_Toc297120493"/>
      <w:bookmarkStart w:id="608" w:name="_Toc303539146"/>
      <w:bookmarkStart w:id="609" w:name="_Toc297048379"/>
      <w:bookmarkStart w:id="610" w:name="_Toc296891233"/>
      <w:bookmarkStart w:id="611" w:name="_Toc296346694"/>
      <w:bookmarkStart w:id="612" w:name="_Toc312677499"/>
      <w:bookmarkStart w:id="613" w:name="_Toc312678025"/>
      <w:bookmarkStart w:id="614" w:name="_Toc267251439"/>
      <w:bookmarkStart w:id="615" w:name="_Toc267251437"/>
      <w:bookmarkStart w:id="616" w:name="_Toc267251435"/>
      <w:bookmarkStart w:id="617" w:name="_Toc267251433"/>
      <w:bookmarkStart w:id="618" w:name="_Toc267251440"/>
      <w:bookmarkStart w:id="619" w:name="_Toc267251441"/>
      <w:bookmarkStart w:id="620" w:name="_Toc267251442"/>
      <w:r>
        <w:rPr>
          <w:rFonts w:hint="eastAsia" w:ascii="宋体" w:hAnsi="宋体" w:eastAsia="宋体" w:cs="宋体"/>
          <w:sz w:val="24"/>
          <w:szCs w:val="24"/>
        </w:rPr>
        <w:t>0. 变更</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bookmarkEnd w:id="612"/>
    <w:bookmarkEnd w:id="613"/>
    <w:p>
      <w:pPr>
        <w:pStyle w:val="48"/>
        <w:tabs>
          <w:tab w:val="left" w:pos="6480"/>
        </w:tabs>
        <w:spacing w:before="0" w:after="0"/>
        <w:rPr>
          <w:rFonts w:hint="eastAsia" w:ascii="宋体" w:hAnsi="宋体" w:eastAsia="宋体" w:cs="宋体"/>
          <w:sz w:val="24"/>
          <w:szCs w:val="24"/>
        </w:rPr>
      </w:pPr>
      <w:bookmarkStart w:id="621" w:name="_Toc466476821"/>
      <w:bookmarkStart w:id="622" w:name="_Toc508111578"/>
      <w:bookmarkStart w:id="623" w:name="_Toc10923"/>
      <w:bookmarkStart w:id="624" w:name="_Toc373227740"/>
      <w:bookmarkStart w:id="625" w:name="_Toc373478387"/>
      <w:bookmarkStart w:id="626" w:name="_Toc16721"/>
      <w:bookmarkStart w:id="627" w:name="_Toc389065306"/>
      <w:r>
        <w:rPr>
          <w:rFonts w:hint="eastAsia" w:ascii="宋体" w:hAnsi="宋体" w:eastAsia="宋体" w:cs="宋体"/>
          <w:sz w:val="24"/>
          <w:szCs w:val="24"/>
        </w:rPr>
        <w:t>1</w:t>
      </w:r>
      <w:bookmarkStart w:id="628" w:name="_Toc292559399"/>
      <w:bookmarkStart w:id="629" w:name="_Toc296944533"/>
      <w:bookmarkStart w:id="630" w:name="_Toc296891022"/>
      <w:bookmarkStart w:id="631" w:name="_Toc303539147"/>
      <w:bookmarkStart w:id="632" w:name="_Toc312677500"/>
      <w:bookmarkStart w:id="633" w:name="_Toc297216200"/>
      <w:bookmarkStart w:id="634" w:name="_Toc304295567"/>
      <w:bookmarkStart w:id="635" w:name="_Toc297048380"/>
      <w:bookmarkStart w:id="636" w:name="_Toc300934990"/>
      <w:bookmarkStart w:id="637" w:name="_Toc292559904"/>
      <w:bookmarkStart w:id="638" w:name="_Toc312678026"/>
      <w:bookmarkStart w:id="639" w:name="_Toc296503194"/>
      <w:bookmarkStart w:id="640" w:name="_Toc297123541"/>
      <w:bookmarkStart w:id="641" w:name="_Toc296891234"/>
      <w:bookmarkStart w:id="642" w:name="_Toc297120494"/>
      <w:bookmarkStart w:id="643" w:name="_Toc296346695"/>
      <w:bookmarkStart w:id="644" w:name="_Toc296347193"/>
      <w:r>
        <w:rPr>
          <w:rFonts w:hint="eastAsia" w:ascii="宋体" w:hAnsi="宋体" w:eastAsia="宋体" w:cs="宋体"/>
          <w:sz w:val="24"/>
          <w:szCs w:val="24"/>
        </w:rPr>
        <w:t>0.1 变更的范围</w:t>
      </w:r>
      <w:bookmarkEnd w:id="621"/>
      <w:bookmarkEnd w:id="622"/>
      <w:bookmarkEnd w:id="623"/>
      <w:bookmarkEnd w:id="624"/>
      <w:bookmarkEnd w:id="625"/>
      <w:bookmarkEnd w:id="626"/>
      <w:bookmarkEnd w:id="627"/>
    </w:p>
    <w:p>
      <w:pPr>
        <w:pStyle w:val="47"/>
        <w:tabs>
          <w:tab w:val="left" w:pos="6480"/>
        </w:tabs>
        <w:spacing w:line="360" w:lineRule="auto"/>
        <w:ind w:firstLine="426"/>
        <w:jc w:val="left"/>
        <w:rPr>
          <w:rFonts w:hint="eastAsia" w:ascii="宋体" w:hAnsi="宋体" w:eastAsia="宋体" w:cs="宋体"/>
          <w:sz w:val="24"/>
          <w:szCs w:val="24"/>
        </w:rPr>
      </w:pPr>
      <w:r>
        <w:rPr>
          <w:rFonts w:hint="eastAsia" w:ascii="宋体" w:hAnsi="宋体" w:eastAsia="宋体" w:cs="宋体"/>
          <w:sz w:val="24"/>
          <w:szCs w:val="24"/>
        </w:rPr>
        <w:t>关于变更的范围的约定：</w:t>
      </w:r>
      <w:r>
        <w:rPr>
          <w:rFonts w:hint="eastAsia" w:ascii="宋体" w:hAnsi="宋体" w:eastAsia="宋体" w:cs="宋体"/>
          <w:sz w:val="24"/>
          <w:szCs w:val="24"/>
          <w:u w:val="single"/>
        </w:rPr>
        <w:t>按通用条款10.1执行</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645" w:name="_Toc389065307"/>
      <w:bookmarkStart w:id="646" w:name="_Toc373478388"/>
      <w:bookmarkStart w:id="647" w:name="_Toc466476822"/>
      <w:bookmarkStart w:id="648" w:name="_Toc508111579"/>
      <w:bookmarkStart w:id="649" w:name="_Toc15190"/>
      <w:bookmarkStart w:id="650" w:name="_Toc15963"/>
      <w:bookmarkStart w:id="651" w:name="_Toc373227741"/>
      <w:r>
        <w:rPr>
          <w:rFonts w:hint="eastAsia" w:ascii="宋体" w:hAnsi="宋体" w:eastAsia="宋体" w:cs="宋体"/>
          <w:sz w:val="24"/>
          <w:szCs w:val="24"/>
        </w:rPr>
        <w:t>10.3 变更程序</w:t>
      </w:r>
      <w:bookmarkEnd w:id="645"/>
      <w:bookmarkEnd w:id="646"/>
      <w:bookmarkEnd w:id="647"/>
      <w:bookmarkEnd w:id="648"/>
      <w:bookmarkEnd w:id="649"/>
      <w:bookmarkEnd w:id="650"/>
      <w:bookmarkEnd w:id="651"/>
    </w:p>
    <w:p>
      <w:pPr>
        <w:pStyle w:val="49"/>
        <w:tabs>
          <w:tab w:val="left" w:pos="6480"/>
        </w:tabs>
        <w:spacing w:line="360" w:lineRule="auto"/>
        <w:ind w:firstLine="504" w:firstLineChars="210"/>
        <w:rPr>
          <w:rFonts w:hint="eastAsia" w:ascii="宋体" w:hAnsi="宋体" w:eastAsia="宋体" w:cs="宋体"/>
          <w:bCs/>
          <w:sz w:val="24"/>
          <w:szCs w:val="24"/>
        </w:rPr>
      </w:pPr>
      <w:r>
        <w:rPr>
          <w:rFonts w:hint="eastAsia" w:ascii="宋体" w:hAnsi="宋体" w:eastAsia="宋体" w:cs="宋体"/>
          <w:bCs/>
          <w:sz w:val="24"/>
          <w:szCs w:val="24"/>
        </w:rPr>
        <w:t>10.3.1 国有投资项目：</w:t>
      </w:r>
    </w:p>
    <w:p>
      <w:pPr>
        <w:pStyle w:val="49"/>
        <w:tabs>
          <w:tab w:val="left" w:pos="6480"/>
        </w:tabs>
        <w:spacing w:line="360" w:lineRule="auto"/>
        <w:ind w:firstLine="504" w:firstLineChars="210"/>
        <w:rPr>
          <w:rFonts w:hint="eastAsia" w:ascii="宋体" w:hAnsi="宋体" w:eastAsia="宋体" w:cs="宋体"/>
          <w:bCs/>
          <w:sz w:val="24"/>
          <w:szCs w:val="24"/>
        </w:rPr>
      </w:pPr>
      <w:r>
        <w:rPr>
          <w:rFonts w:hint="eastAsia" w:ascii="宋体" w:hAnsi="宋体" w:eastAsia="宋体" w:cs="宋体"/>
          <w:bCs/>
          <w:sz w:val="24"/>
          <w:szCs w:val="24"/>
        </w:rPr>
        <w:t>⑴设计变更和工程签证，按河池市政府或相关部门的规定办理。属不可抗力（自然灾害、突发事件等）造成变更的，按特事特办原则予以办理。</w:t>
      </w:r>
    </w:p>
    <w:p>
      <w:pPr>
        <w:pStyle w:val="49"/>
        <w:tabs>
          <w:tab w:val="left" w:pos="6480"/>
        </w:tabs>
        <w:spacing w:line="360" w:lineRule="auto"/>
        <w:ind w:firstLine="504" w:firstLineChars="210"/>
        <w:rPr>
          <w:rFonts w:hint="eastAsia" w:ascii="宋体" w:hAnsi="宋体" w:eastAsia="宋体" w:cs="宋体"/>
          <w:bCs/>
          <w:sz w:val="24"/>
          <w:szCs w:val="24"/>
        </w:rPr>
      </w:pPr>
      <w:r>
        <w:rPr>
          <w:rFonts w:hint="eastAsia" w:ascii="宋体" w:hAnsi="宋体" w:eastAsia="宋体" w:cs="宋体"/>
          <w:bCs/>
          <w:sz w:val="24"/>
          <w:szCs w:val="24"/>
        </w:rPr>
        <w:t>⑵建设单位在实施项目过程中，若发生单价变动，由建设单位、监理单位、施工单位及其他相关单位共同商定并签字确认。</w:t>
      </w:r>
    </w:p>
    <w:p>
      <w:pPr>
        <w:pStyle w:val="47"/>
        <w:tabs>
          <w:tab w:val="left" w:pos="6480"/>
        </w:tabs>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⑶ 当合同规定的合同价款调整情况发生后，承包人未在规定时间内通知发包人，或者未在规定时间内提出调整报告，发包人可以根据有关资料，决定是否调整和调整的金额，并书面通知承包人。</w:t>
      </w:r>
    </w:p>
    <w:p>
      <w:pPr>
        <w:pStyle w:val="47"/>
        <w:tabs>
          <w:tab w:val="left" w:pos="6480"/>
        </w:tabs>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 xml:space="preserve">10.3.2 非国有投资项目： </w:t>
      </w:r>
      <w:r>
        <w:rPr>
          <w:rFonts w:hint="eastAsia" w:ascii="宋体" w:hAnsi="宋体" w:eastAsia="宋体" w:cs="宋体"/>
          <w:sz w:val="24"/>
          <w:szCs w:val="24"/>
          <w:u w:val="single"/>
        </w:rPr>
        <w:t xml:space="preserve">/ </w:t>
      </w:r>
      <w:r>
        <w:rPr>
          <w:rFonts w:hint="eastAsia" w:ascii="宋体" w:hAnsi="宋体" w:eastAsia="宋体" w:cs="宋体"/>
          <w:bCs/>
          <w:sz w:val="24"/>
          <w:szCs w:val="24"/>
        </w:rPr>
        <w:t>。</w:t>
      </w:r>
    </w:p>
    <w:p>
      <w:pPr>
        <w:pStyle w:val="48"/>
        <w:tabs>
          <w:tab w:val="left" w:pos="6480"/>
        </w:tabs>
        <w:spacing w:before="0" w:after="0"/>
        <w:rPr>
          <w:rFonts w:hint="eastAsia" w:ascii="宋体" w:hAnsi="宋体" w:eastAsia="宋体" w:cs="宋体"/>
          <w:sz w:val="24"/>
          <w:szCs w:val="24"/>
        </w:rPr>
      </w:pPr>
      <w:bookmarkStart w:id="652" w:name="_Toc389065308"/>
      <w:bookmarkStart w:id="653" w:name="_Toc17623"/>
      <w:bookmarkStart w:id="654" w:name="_Toc466476823"/>
      <w:bookmarkStart w:id="655" w:name="_Toc5172"/>
      <w:bookmarkStart w:id="656" w:name="_Toc373478389"/>
      <w:bookmarkStart w:id="657" w:name="_Toc508111580"/>
      <w:bookmarkStart w:id="658" w:name="_Toc373227742"/>
      <w:r>
        <w:rPr>
          <w:rFonts w:hint="eastAsia" w:ascii="宋体" w:hAnsi="宋体" w:eastAsia="宋体" w:cs="宋体"/>
          <w:sz w:val="24"/>
          <w:szCs w:val="24"/>
        </w:rPr>
        <w:t>10.4 变更估价</w:t>
      </w:r>
      <w:bookmarkEnd w:id="652"/>
      <w:bookmarkEnd w:id="653"/>
      <w:bookmarkEnd w:id="654"/>
      <w:bookmarkEnd w:id="655"/>
      <w:bookmarkEnd w:id="656"/>
      <w:bookmarkEnd w:id="657"/>
      <w:bookmarkEnd w:id="658"/>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10.4.1 变更估价原则</w:t>
      </w:r>
    </w:p>
    <w:p>
      <w:pPr>
        <w:pStyle w:val="47"/>
        <w:tabs>
          <w:tab w:val="left" w:pos="6480"/>
        </w:tabs>
        <w:spacing w:line="420" w:lineRule="exact"/>
        <w:ind w:firstLine="480" w:firstLineChars="200"/>
        <w:rPr>
          <w:rFonts w:hint="eastAsia" w:ascii="宋体" w:hAnsi="宋体" w:eastAsia="宋体" w:cs="宋体"/>
          <w:color w:val="FF0000"/>
          <w:sz w:val="24"/>
          <w:szCs w:val="24"/>
          <w:u w:val="single"/>
        </w:rPr>
      </w:pPr>
      <w:bookmarkStart w:id="659" w:name="_Toc373227743"/>
      <w:bookmarkStart w:id="660" w:name="_Toc389065309"/>
      <w:bookmarkStart w:id="661" w:name="_Toc373478390"/>
      <w:r>
        <w:rPr>
          <w:rFonts w:hint="eastAsia" w:ascii="宋体" w:hAnsi="宋体" w:eastAsia="宋体" w:cs="宋体"/>
          <w:sz w:val="24"/>
          <w:szCs w:val="24"/>
        </w:rPr>
        <w:t xml:space="preserve">关于变更估价的约定: </w:t>
      </w:r>
      <w:bookmarkStart w:id="662" w:name="_Toc251051742"/>
      <w:r>
        <w:rPr>
          <w:rFonts w:hint="eastAsia" w:ascii="宋体" w:hAnsi="宋体" w:eastAsia="宋体" w:cs="宋体"/>
          <w:sz w:val="24"/>
          <w:szCs w:val="24"/>
          <w:u w:val="single"/>
        </w:rPr>
        <w:t>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w:t>
      </w:r>
      <w:r>
        <w:rPr>
          <w:rFonts w:hint="eastAsia" w:ascii="宋体" w:hAnsi="宋体" w:eastAsia="宋体" w:cs="宋体"/>
          <w:color w:val="FF0000"/>
          <w:sz w:val="24"/>
          <w:szCs w:val="24"/>
          <w:u w:val="single"/>
        </w:rPr>
        <w:t>有定额的套定额，并乘以下浮系数（建筑安装工程费的中标价/该部分最高投标限价）计算，其中材料价格按施工期间的《河池市建设工程造价信息》相应价格信息进行计算；《河池市建设工程造价信息》没有相应价格信息的按《南宁市建设工程造价信息》、《柳州市建设工程造价信息》、《南方电网工程主要材料设备信息价》中较低价格进行计算；《南宁市建设工程造价信息》、《柳州市建设工程造价信息》、《南方电网工程主要材料设备信息价》没有相应价格信息的参照广西壮族自治区其他城市建设工程造价信息中最低价格进行计算；上述均无相应材料价格的通过市场询价确认价格。无定额可套的，根据市场价格协商确定综合价格;对于国有资产的项目，新增项目的单价必须经同级财政评审中心审定。</w:t>
      </w:r>
    </w:p>
    <w:p>
      <w:pPr>
        <w:pStyle w:val="47"/>
        <w:tabs>
          <w:tab w:val="left" w:pos="6480"/>
        </w:tabs>
        <w:spacing w:line="420" w:lineRule="exact"/>
        <w:ind w:firstLine="480" w:firstLineChars="200"/>
        <w:rPr>
          <w:rFonts w:hint="eastAsia" w:ascii="宋体" w:hAnsi="宋体" w:eastAsia="宋体" w:cs="宋体"/>
          <w:color w:val="FF0000"/>
          <w:sz w:val="24"/>
          <w:szCs w:val="24"/>
          <w:u w:val="single"/>
          <w:lang w:eastAsia="zh-CN"/>
        </w:rPr>
      </w:pPr>
      <w:r>
        <w:rPr>
          <w:rFonts w:hint="eastAsia" w:ascii="宋体" w:hAnsi="宋体" w:eastAsia="宋体" w:cs="宋体"/>
          <w:color w:val="FF0000"/>
          <w:sz w:val="24"/>
          <w:szCs w:val="24"/>
          <w:u w:val="single"/>
          <w:lang w:eastAsia="zh-CN"/>
        </w:rPr>
        <w:t>计价依据以下定额、文件及规范：</w:t>
      </w:r>
      <w:r>
        <w:rPr>
          <w:rFonts w:hint="eastAsia" w:ascii="宋体" w:hAnsi="宋体" w:eastAsia="宋体" w:cs="宋体"/>
          <w:color w:val="FF0000"/>
          <w:sz w:val="24"/>
          <w:szCs w:val="24"/>
          <w:u w:val="single"/>
        </w:rPr>
        <w:t>2011年《广西壮族自治区建筑工程拆除消耗量定额》、2013年《广西壮族自治区建筑装饰装修工程消耗量定额》、2014年版《广西壮族自治区市政工程消耗量定额》、2015年《广西壮族自治区安装工程消耗量定额》及其配套费用定额、《关于建筑业实施营业税改征增值税后广西壮族自治区建设工程计价依据调整的通知》（桂建标〔2016〕17号）、《广西壮族自治区建设工程费用定额》（2016 年版）及广西区内最新发布的关于上述文件的调整文件的有关规定及现行有关配套费率、人工和机械台班费用调整规定。</w:t>
      </w:r>
    </w:p>
    <w:bookmarkEnd w:id="662"/>
    <w:p>
      <w:pPr>
        <w:pStyle w:val="48"/>
        <w:tabs>
          <w:tab w:val="left" w:pos="6480"/>
        </w:tabs>
        <w:spacing w:before="0" w:after="0"/>
        <w:rPr>
          <w:rFonts w:hint="eastAsia" w:ascii="宋体" w:hAnsi="宋体" w:eastAsia="宋体" w:cs="宋体"/>
          <w:sz w:val="24"/>
          <w:szCs w:val="24"/>
        </w:rPr>
      </w:pPr>
      <w:bookmarkStart w:id="663" w:name="_Toc466476824"/>
      <w:bookmarkStart w:id="664" w:name="_Toc19141"/>
      <w:bookmarkStart w:id="665" w:name="_Toc508111581"/>
      <w:bookmarkStart w:id="666" w:name="_Toc10030"/>
      <w:r>
        <w:rPr>
          <w:rFonts w:hint="eastAsia" w:ascii="宋体" w:hAnsi="宋体" w:eastAsia="宋体" w:cs="宋体"/>
          <w:sz w:val="24"/>
          <w:szCs w:val="24"/>
        </w:rPr>
        <w:t>1</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Start w:id="667" w:name="_Toc300934993"/>
      <w:bookmarkStart w:id="668" w:name="_Toc297120497"/>
      <w:bookmarkStart w:id="669" w:name="_Toc296347196"/>
      <w:bookmarkStart w:id="670" w:name="_Toc296503197"/>
      <w:bookmarkStart w:id="671" w:name="_Toc297216203"/>
      <w:bookmarkStart w:id="672" w:name="_Toc303539150"/>
      <w:bookmarkStart w:id="673" w:name="_Toc296891025"/>
      <w:bookmarkStart w:id="674" w:name="_Toc296346698"/>
      <w:bookmarkStart w:id="675" w:name="_Toc292559907"/>
      <w:bookmarkStart w:id="676" w:name="_Toc297123544"/>
      <w:bookmarkStart w:id="677" w:name="_Toc296944536"/>
      <w:bookmarkStart w:id="678" w:name="_Toc297048383"/>
      <w:bookmarkStart w:id="679" w:name="_Toc292559402"/>
      <w:bookmarkStart w:id="680" w:name="_Toc296891237"/>
      <w:bookmarkStart w:id="681" w:name="_Toc312677503"/>
      <w:bookmarkStart w:id="682" w:name="_Toc312678029"/>
      <w:bookmarkStart w:id="683" w:name="_Toc304295570"/>
      <w:r>
        <w:rPr>
          <w:rFonts w:hint="eastAsia" w:ascii="宋体" w:hAnsi="宋体" w:eastAsia="宋体" w:cs="宋体"/>
          <w:sz w:val="24"/>
          <w:szCs w:val="24"/>
        </w:rPr>
        <w:t>0.5 承</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Start w:id="684" w:name="_Toc296891031"/>
      <w:bookmarkStart w:id="685" w:name="_Toc300934994"/>
      <w:bookmarkStart w:id="686" w:name="_Toc297120503"/>
      <w:bookmarkStart w:id="687" w:name="_Toc296503203"/>
      <w:bookmarkStart w:id="688" w:name="_Toc297048389"/>
      <w:bookmarkStart w:id="689" w:name="_Toc296944542"/>
      <w:bookmarkStart w:id="690" w:name="_Toc297216204"/>
      <w:bookmarkStart w:id="691" w:name="_Toc292559408"/>
      <w:bookmarkStart w:id="692" w:name="_Toc297123545"/>
      <w:bookmarkStart w:id="693" w:name="_Toc292559913"/>
      <w:bookmarkStart w:id="694" w:name="_Toc296346704"/>
      <w:bookmarkStart w:id="695" w:name="_Toc303539151"/>
      <w:bookmarkStart w:id="696" w:name="_Toc296347202"/>
      <w:bookmarkStart w:id="697" w:name="_Toc296891243"/>
      <w:r>
        <w:rPr>
          <w:rFonts w:hint="eastAsia" w:ascii="宋体" w:hAnsi="宋体" w:eastAsia="宋体" w:cs="宋体"/>
          <w:sz w:val="24"/>
          <w:szCs w:val="24"/>
        </w:rPr>
        <w:t>包人的合理化建议</w:t>
      </w:r>
      <w:bookmarkEnd w:id="659"/>
      <w:bookmarkEnd w:id="660"/>
      <w:bookmarkEnd w:id="661"/>
      <w:bookmarkEnd w:id="663"/>
      <w:bookmarkEnd w:id="664"/>
      <w:bookmarkEnd w:id="665"/>
      <w:bookmarkEnd w:id="666"/>
    </w:p>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Pr>
        <w:pStyle w:val="47"/>
        <w:spacing w:line="360" w:lineRule="auto"/>
        <w:ind w:firstLine="480" w:firstLineChars="200"/>
        <w:jc w:val="left"/>
        <w:rPr>
          <w:rFonts w:hint="eastAsia" w:ascii="宋体" w:hAnsi="宋体" w:eastAsia="宋体" w:cs="宋体"/>
          <w:sz w:val="24"/>
          <w:szCs w:val="24"/>
        </w:rPr>
      </w:pPr>
      <w:bookmarkStart w:id="698" w:name="_Toc292559914"/>
      <w:bookmarkStart w:id="699" w:name="_Toc296346705"/>
      <w:bookmarkStart w:id="700" w:name="_Toc297120504"/>
      <w:bookmarkStart w:id="701" w:name="_Toc296347203"/>
      <w:bookmarkStart w:id="702" w:name="_Toc312677504"/>
      <w:bookmarkStart w:id="703" w:name="_Toc296944543"/>
      <w:bookmarkStart w:id="704" w:name="_Toc297216205"/>
      <w:bookmarkStart w:id="705" w:name="_Toc300934995"/>
      <w:bookmarkStart w:id="706" w:name="_Toc297048390"/>
      <w:bookmarkStart w:id="707" w:name="_Toc296503204"/>
      <w:bookmarkStart w:id="708" w:name="_Toc304295571"/>
      <w:bookmarkStart w:id="709" w:name="_Toc312678030"/>
      <w:bookmarkStart w:id="710" w:name="_Toc296891032"/>
      <w:bookmarkStart w:id="711" w:name="_Toc296891244"/>
      <w:bookmarkStart w:id="712" w:name="_Toc292559409"/>
      <w:bookmarkStart w:id="713" w:name="_Toc318581175"/>
      <w:bookmarkStart w:id="714" w:name="_Toc297123546"/>
      <w:bookmarkStart w:id="715" w:name="_Toc303539152"/>
      <w:r>
        <w:rPr>
          <w:rFonts w:hint="eastAsia" w:ascii="宋体" w:hAnsi="宋体" w:eastAsia="宋体" w:cs="宋体"/>
          <w:sz w:val="24"/>
          <w:szCs w:val="24"/>
        </w:rPr>
        <w:t>监理人审查承包人合理化建议的期限：</w:t>
      </w:r>
      <w:r>
        <w:rPr>
          <w:rFonts w:hint="eastAsia" w:ascii="宋体" w:hAnsi="宋体" w:eastAsia="宋体" w:cs="宋体"/>
          <w:sz w:val="24"/>
          <w:szCs w:val="24"/>
          <w:u w:val="single"/>
        </w:rPr>
        <w:t>按通用条款10.5执行</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发包人审批承包人合理化建议的期限：</w:t>
      </w:r>
      <w:r>
        <w:rPr>
          <w:rFonts w:hint="eastAsia" w:ascii="宋体" w:hAnsi="宋体" w:eastAsia="宋体" w:cs="宋体"/>
          <w:sz w:val="24"/>
          <w:szCs w:val="24"/>
          <w:u w:val="single"/>
        </w:rPr>
        <w:t>按通用条款10.5执行</w:t>
      </w:r>
      <w:r>
        <w:rPr>
          <w:rFonts w:hint="eastAsia" w:ascii="宋体" w:hAnsi="宋体" w:eastAsia="宋体" w:cs="宋体"/>
          <w:sz w:val="24"/>
          <w:szCs w:val="24"/>
        </w:rPr>
        <w:t>。</w:t>
      </w:r>
    </w:p>
    <w:p>
      <w:pPr>
        <w:pStyle w:val="47"/>
        <w:tabs>
          <w:tab w:val="left" w:pos="6480"/>
        </w:tabs>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承包人提出的合理化建议降低了合同价格或者提高了工程经济效益的奖励的方法和金额为：</w:t>
      </w:r>
      <w:r>
        <w:rPr>
          <w:rFonts w:hint="eastAsia" w:ascii="宋体" w:hAnsi="宋体" w:eastAsia="宋体" w:cs="宋体"/>
          <w:sz w:val="24"/>
          <w:szCs w:val="24"/>
          <w:u w:val="single"/>
        </w:rPr>
        <w:t>按通用条款10.5执行</w:t>
      </w:r>
      <w:r>
        <w:rPr>
          <w:rFonts w:hint="eastAsia" w:ascii="宋体" w:hAnsi="宋体" w:eastAsia="宋体" w:cs="宋体"/>
          <w:sz w:val="24"/>
          <w:szCs w:val="24"/>
        </w:rPr>
        <w:t>。</w:t>
      </w:r>
    </w:p>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Pr>
        <w:pStyle w:val="48"/>
        <w:tabs>
          <w:tab w:val="left" w:pos="6480"/>
        </w:tabs>
        <w:spacing w:before="0" w:after="0"/>
        <w:rPr>
          <w:rFonts w:hint="eastAsia" w:ascii="宋体" w:hAnsi="宋体" w:eastAsia="宋体" w:cs="宋体"/>
          <w:sz w:val="24"/>
          <w:szCs w:val="24"/>
        </w:rPr>
      </w:pPr>
      <w:bookmarkStart w:id="716" w:name="_Toc25030"/>
      <w:bookmarkStart w:id="717" w:name="_Toc12147"/>
      <w:bookmarkStart w:id="718" w:name="_Toc373478391"/>
      <w:bookmarkStart w:id="719" w:name="_Toc389065310"/>
      <w:bookmarkStart w:id="720" w:name="_Toc373227744"/>
      <w:bookmarkStart w:id="721" w:name="_Toc466476825"/>
      <w:bookmarkStart w:id="722" w:name="_Toc508111582"/>
      <w:r>
        <w:rPr>
          <w:rFonts w:hint="eastAsia" w:ascii="宋体" w:hAnsi="宋体" w:eastAsia="宋体" w:cs="宋体"/>
          <w:sz w:val="24"/>
          <w:szCs w:val="24"/>
        </w:rPr>
        <w:t>1</w:t>
      </w:r>
      <w:bookmarkStart w:id="723" w:name="_Toc297123548"/>
      <w:bookmarkStart w:id="724" w:name="_Toc304295574"/>
      <w:bookmarkStart w:id="725" w:name="_Toc296503199"/>
      <w:bookmarkStart w:id="726" w:name="_Toc312678033"/>
      <w:bookmarkStart w:id="727" w:name="_Toc312677507"/>
      <w:bookmarkStart w:id="728" w:name="_Toc296347198"/>
      <w:bookmarkStart w:id="729" w:name="_Toc297048385"/>
      <w:bookmarkStart w:id="730" w:name="_Toc297120499"/>
      <w:bookmarkStart w:id="731" w:name="_Toc292559404"/>
      <w:bookmarkStart w:id="732" w:name="_Toc300934997"/>
      <w:bookmarkStart w:id="733" w:name="_Toc296891027"/>
      <w:bookmarkStart w:id="734" w:name="_Toc296944538"/>
      <w:bookmarkStart w:id="735" w:name="_Toc303539154"/>
      <w:bookmarkStart w:id="736" w:name="_Toc292559909"/>
      <w:bookmarkStart w:id="737" w:name="_Toc296891239"/>
      <w:bookmarkStart w:id="738" w:name="_Toc297216207"/>
      <w:bookmarkStart w:id="739" w:name="_Toc296346700"/>
      <w:r>
        <w:rPr>
          <w:rFonts w:hint="eastAsia" w:ascii="宋体" w:hAnsi="宋体" w:eastAsia="宋体" w:cs="宋体"/>
          <w:sz w:val="24"/>
          <w:szCs w:val="24"/>
        </w:rPr>
        <w:t>0.7 暂估价</w:t>
      </w:r>
      <w:bookmarkEnd w:id="716"/>
      <w:bookmarkEnd w:id="717"/>
      <w:bookmarkEnd w:id="718"/>
      <w:bookmarkEnd w:id="719"/>
      <w:bookmarkEnd w:id="720"/>
      <w:bookmarkEnd w:id="721"/>
      <w:bookmarkEnd w:id="722"/>
    </w:p>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暂估价材料和工程设备的明细详见已标价工程量清单。</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暂</w:t>
      </w:r>
      <w:bookmarkStart w:id="740" w:name="_Toc318581176"/>
      <w:bookmarkStart w:id="741" w:name="_Toc312678034"/>
      <w:bookmarkStart w:id="742" w:name="_Toc312677508"/>
      <w:r>
        <w:rPr>
          <w:rFonts w:hint="eastAsia" w:ascii="宋体" w:hAnsi="宋体" w:eastAsia="宋体" w:cs="宋体"/>
          <w:kern w:val="0"/>
          <w:sz w:val="24"/>
          <w:szCs w:val="24"/>
        </w:rPr>
        <w:t>估价材料和工程设备的明细详见已标价工程量清单《</w:t>
      </w:r>
      <w:r>
        <w:rPr>
          <w:rFonts w:hint="eastAsia" w:ascii="宋体" w:hAnsi="宋体" w:eastAsia="宋体" w:cs="宋体"/>
          <w:sz w:val="24"/>
          <w:szCs w:val="24"/>
        </w:rPr>
        <w:t>材料（工程设备）暂估价格及调整表》</w:t>
      </w:r>
      <w:r>
        <w:rPr>
          <w:rFonts w:hint="eastAsia" w:ascii="宋体" w:hAnsi="宋体" w:eastAsia="宋体" w:cs="宋体"/>
          <w:kern w:val="0"/>
          <w:sz w:val="24"/>
          <w:szCs w:val="24"/>
        </w:rPr>
        <w:t>（表12-2）和《</w:t>
      </w:r>
      <w:r>
        <w:rPr>
          <w:rFonts w:hint="eastAsia" w:ascii="宋体" w:hAnsi="宋体" w:eastAsia="宋体" w:cs="宋体"/>
          <w:sz w:val="24"/>
          <w:szCs w:val="24"/>
        </w:rPr>
        <w:t>专业工程暂估价表》（</w:t>
      </w:r>
      <w:r>
        <w:rPr>
          <w:rFonts w:hint="eastAsia" w:ascii="宋体" w:hAnsi="宋体" w:eastAsia="宋体" w:cs="宋体"/>
          <w:kern w:val="0"/>
          <w:sz w:val="24"/>
          <w:szCs w:val="24"/>
        </w:rPr>
        <w:t>表12-3）。</w:t>
      </w:r>
    </w:p>
    <w:bookmarkEnd w:id="740"/>
    <w:bookmarkEnd w:id="741"/>
    <w:bookmarkEnd w:id="742"/>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bookmarkStart w:id="743" w:name="_Toc312677509"/>
      <w:bookmarkStart w:id="744" w:name="_Toc312678035"/>
      <w:bookmarkStart w:id="745" w:name="_Toc318581177"/>
      <w:r>
        <w:rPr>
          <w:rFonts w:hint="eastAsia" w:ascii="宋体" w:hAnsi="宋体" w:eastAsia="宋体" w:cs="宋体"/>
          <w:sz w:val="24"/>
          <w:szCs w:val="24"/>
        </w:rPr>
        <w:t>0.7.1 依法必须招标的暂估价项目</w:t>
      </w:r>
    </w:p>
    <w:bookmarkEnd w:id="743"/>
    <w:bookmarkEnd w:id="744"/>
    <w:bookmarkEnd w:id="745"/>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对于依法必须招标的暂估价项目的确认和批准采取第</w:t>
      </w:r>
      <w:r>
        <w:rPr>
          <w:rFonts w:hint="eastAsia" w:ascii="宋体" w:hAnsi="宋体" w:eastAsia="宋体" w:cs="宋体"/>
          <w:sz w:val="24"/>
          <w:szCs w:val="24"/>
          <w:u w:val="single"/>
        </w:rPr>
        <w:t xml:space="preserve">/ </w:t>
      </w:r>
      <w:r>
        <w:rPr>
          <w:rFonts w:hint="eastAsia" w:ascii="宋体" w:hAnsi="宋体" w:eastAsia="宋体" w:cs="宋体"/>
          <w:sz w:val="24"/>
          <w:szCs w:val="24"/>
        </w:rPr>
        <w:t>种方式确定。</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10.7.2 不属于依法必须招标的暂估价项目</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对于不属于依法必须招标的暂估价项目的确认和批准采取第</w:t>
      </w:r>
      <w:r>
        <w:rPr>
          <w:rFonts w:hint="eastAsia" w:ascii="宋体" w:hAnsi="宋体" w:eastAsia="宋体" w:cs="宋体"/>
          <w:sz w:val="24"/>
          <w:szCs w:val="24"/>
          <w:u w:val="single"/>
        </w:rPr>
        <w:t>/</w:t>
      </w:r>
      <w:r>
        <w:rPr>
          <w:rFonts w:hint="eastAsia" w:ascii="宋体" w:hAnsi="宋体" w:eastAsia="宋体" w:cs="宋体"/>
          <w:sz w:val="24"/>
          <w:szCs w:val="24"/>
        </w:rPr>
        <w:t>种方式确定。</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第3种方式：</w:t>
      </w:r>
      <w:r>
        <w:rPr>
          <w:rFonts w:hint="eastAsia" w:ascii="宋体" w:hAnsi="宋体" w:eastAsia="宋体" w:cs="宋体"/>
          <w:kern w:val="0"/>
          <w:sz w:val="24"/>
          <w:szCs w:val="24"/>
        </w:rPr>
        <w:t>承包人直接实施的暂估价项目</w:t>
      </w:r>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承包人直接实施的暂估价项目的约定：</w:t>
      </w:r>
      <w:r>
        <w:rPr>
          <w:rFonts w:hint="eastAsia" w:ascii="宋体" w:hAnsi="宋体" w:eastAsia="宋体" w:cs="宋体"/>
          <w:sz w:val="24"/>
          <w:szCs w:val="24"/>
          <w:u w:val="single"/>
        </w:rPr>
        <w:t>/</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746" w:name="_Toc5814"/>
      <w:bookmarkStart w:id="747" w:name="_Toc389065311"/>
      <w:bookmarkStart w:id="748" w:name="_Toc508111583"/>
      <w:bookmarkStart w:id="749" w:name="_Toc373227745"/>
      <w:bookmarkStart w:id="750" w:name="_Toc466476826"/>
      <w:bookmarkStart w:id="751" w:name="_Toc12826"/>
      <w:bookmarkStart w:id="752" w:name="_Toc373478392"/>
      <w:r>
        <w:rPr>
          <w:rFonts w:hint="eastAsia" w:ascii="宋体" w:hAnsi="宋体" w:eastAsia="宋体" w:cs="宋体"/>
          <w:sz w:val="24"/>
          <w:szCs w:val="24"/>
        </w:rPr>
        <w:t>10.8 暂列金额</w:t>
      </w:r>
      <w:bookmarkEnd w:id="746"/>
      <w:bookmarkEnd w:id="747"/>
      <w:bookmarkEnd w:id="748"/>
      <w:bookmarkEnd w:id="749"/>
      <w:bookmarkEnd w:id="750"/>
      <w:bookmarkEnd w:id="751"/>
      <w:bookmarkEnd w:id="752"/>
    </w:p>
    <w:p>
      <w:pPr>
        <w:pStyle w:val="47"/>
        <w:tabs>
          <w:tab w:val="left" w:pos="6480"/>
        </w:tabs>
        <w:autoSpaceDE w:val="0"/>
        <w:autoSpaceDN w:val="0"/>
        <w:adjustRightIn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kern w:val="0"/>
          <w:sz w:val="24"/>
          <w:szCs w:val="24"/>
        </w:rPr>
        <w:t>合同当事人关于暂列金额使用的约定：</w:t>
      </w:r>
      <w:r>
        <w:rPr>
          <w:rFonts w:hint="eastAsia" w:ascii="宋体" w:hAnsi="宋体" w:eastAsia="宋体" w:cs="宋体"/>
          <w:sz w:val="24"/>
          <w:szCs w:val="24"/>
          <w:u w:val="single"/>
        </w:rPr>
        <w:t>由承包人根据发包人要求编制，并按工程进度提前7日向发包人提交</w:t>
      </w:r>
      <w:r>
        <w:rPr>
          <w:rFonts w:hint="eastAsia" w:ascii="宋体" w:hAnsi="宋体" w:eastAsia="宋体" w:cs="宋体"/>
          <w:kern w:val="0"/>
          <w:sz w:val="24"/>
          <w:szCs w:val="24"/>
        </w:rPr>
        <w:t>。</w:t>
      </w:r>
    </w:p>
    <w:p>
      <w:pPr>
        <w:pStyle w:val="46"/>
        <w:tabs>
          <w:tab w:val="left" w:pos="6480"/>
        </w:tabs>
        <w:spacing w:after="0"/>
        <w:rPr>
          <w:rFonts w:hint="eastAsia" w:ascii="宋体" w:hAnsi="宋体" w:eastAsia="宋体" w:cs="宋体"/>
          <w:sz w:val="24"/>
          <w:szCs w:val="24"/>
        </w:rPr>
      </w:pPr>
      <w:bookmarkStart w:id="753" w:name="_Toc28869"/>
      <w:bookmarkStart w:id="754" w:name="_Toc466476827"/>
      <w:bookmarkStart w:id="755" w:name="_Toc373478393"/>
      <w:bookmarkStart w:id="756" w:name="_Toc508111584"/>
      <w:bookmarkStart w:id="757" w:name="_Toc351203643"/>
      <w:bookmarkStart w:id="758" w:name="_Toc373227746"/>
      <w:bookmarkStart w:id="759" w:name="_Toc30445"/>
      <w:bookmarkStart w:id="760" w:name="_Toc389065312"/>
      <w:r>
        <w:rPr>
          <w:rFonts w:hint="eastAsia" w:ascii="宋体" w:hAnsi="宋体" w:eastAsia="宋体" w:cs="宋体"/>
          <w:sz w:val="24"/>
          <w:szCs w:val="24"/>
        </w:rPr>
        <w:t>11. 价格调整</w:t>
      </w:r>
      <w:bookmarkEnd w:id="753"/>
      <w:bookmarkEnd w:id="754"/>
      <w:bookmarkEnd w:id="755"/>
      <w:bookmarkEnd w:id="756"/>
      <w:bookmarkEnd w:id="757"/>
      <w:bookmarkEnd w:id="758"/>
      <w:bookmarkEnd w:id="759"/>
      <w:bookmarkEnd w:id="760"/>
    </w:p>
    <w:p>
      <w:pPr>
        <w:pStyle w:val="48"/>
        <w:tabs>
          <w:tab w:val="left" w:pos="6480"/>
        </w:tabs>
        <w:spacing w:before="0" w:after="0"/>
        <w:rPr>
          <w:rFonts w:hint="eastAsia" w:ascii="宋体" w:hAnsi="宋体" w:eastAsia="宋体" w:cs="宋体"/>
          <w:sz w:val="24"/>
          <w:szCs w:val="24"/>
        </w:rPr>
      </w:pPr>
      <w:bookmarkStart w:id="761" w:name="_Toc373227747"/>
      <w:bookmarkStart w:id="762" w:name="_Toc373478394"/>
      <w:bookmarkStart w:id="763" w:name="_Toc5823"/>
      <w:bookmarkStart w:id="764" w:name="_Toc389065313"/>
      <w:bookmarkStart w:id="765" w:name="_Toc466476828"/>
      <w:bookmarkStart w:id="766" w:name="_Toc4532"/>
      <w:bookmarkStart w:id="767" w:name="_Toc508111585"/>
      <w:bookmarkStart w:id="768" w:name="_Toc303539157"/>
      <w:bookmarkStart w:id="769" w:name="_Toc296891029"/>
      <w:bookmarkStart w:id="770" w:name="_Toc292559406"/>
      <w:bookmarkStart w:id="771" w:name="_Toc296503201"/>
      <w:bookmarkStart w:id="772" w:name="_Toc304295577"/>
      <w:bookmarkStart w:id="773" w:name="_Toc296891241"/>
      <w:bookmarkStart w:id="774" w:name="_Toc296944540"/>
      <w:bookmarkStart w:id="775" w:name="_Toc297216209"/>
      <w:bookmarkStart w:id="776" w:name="_Toc296347200"/>
      <w:bookmarkStart w:id="777" w:name="_Toc297123550"/>
      <w:bookmarkStart w:id="778" w:name="_Toc297120501"/>
      <w:bookmarkStart w:id="779" w:name="_Toc312678039"/>
      <w:bookmarkStart w:id="780" w:name="_Toc296346702"/>
      <w:bookmarkStart w:id="781" w:name="_Toc300935000"/>
      <w:bookmarkStart w:id="782" w:name="_Toc292559911"/>
      <w:bookmarkStart w:id="783" w:name="_Toc297048387"/>
      <w:r>
        <w:rPr>
          <w:rFonts w:hint="eastAsia" w:ascii="宋体" w:hAnsi="宋体" w:eastAsia="宋体" w:cs="宋体"/>
          <w:sz w:val="24"/>
          <w:szCs w:val="24"/>
        </w:rPr>
        <w:t>11.1 市场价格波动引起的调整</w:t>
      </w:r>
      <w:bookmarkEnd w:id="761"/>
      <w:bookmarkEnd w:id="762"/>
      <w:bookmarkEnd w:id="763"/>
      <w:bookmarkEnd w:id="764"/>
      <w:bookmarkEnd w:id="765"/>
      <w:bookmarkEnd w:id="766"/>
      <w:bookmarkEnd w:id="767"/>
    </w:p>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市场价格波动是否调整合同价格的约定：</w:t>
      </w:r>
      <w:r>
        <w:rPr>
          <w:rFonts w:hint="eastAsia" w:ascii="宋体" w:hAnsi="宋体" w:eastAsia="宋体" w:cs="宋体"/>
          <w:kern w:val="0"/>
          <w:sz w:val="24"/>
          <w:szCs w:val="24"/>
          <w:u w:val="single"/>
        </w:rPr>
        <w:t xml:space="preserve">  是  </w:t>
      </w:r>
      <w:r>
        <w:rPr>
          <w:rFonts w:hint="eastAsia" w:ascii="宋体" w:hAnsi="宋体" w:eastAsia="宋体" w:cs="宋体"/>
          <w:kern w:val="0"/>
          <w:sz w:val="24"/>
          <w:szCs w:val="24"/>
        </w:rPr>
        <w:t xml:space="preserve">。  </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材料调差：钢材、水泥、商品砼、砂（中、粗、细）、碎石材料的市场价格按</w:t>
      </w:r>
      <w:r>
        <w:rPr>
          <w:rFonts w:hint="eastAsia" w:ascii="宋体" w:hAnsi="宋体" w:eastAsia="宋体" w:cs="宋体"/>
          <w:color w:val="FF0000"/>
          <w:sz w:val="24"/>
          <w:szCs w:val="24"/>
          <w:u w:val="single"/>
        </w:rPr>
        <w:t>开标前28天《河池市建设工程造价信息》信息价为基准价格，价格浮动超过±5%（含5%的风险范围）调整合同价格。</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因市场价格波动调整合同价格，采用以下第</w:t>
      </w:r>
      <w:r>
        <w:rPr>
          <w:rFonts w:hint="eastAsia" w:ascii="宋体" w:hAnsi="宋体" w:eastAsia="宋体" w:cs="宋体"/>
          <w:sz w:val="24"/>
          <w:szCs w:val="24"/>
          <w:u w:val="single"/>
        </w:rPr>
        <w:t>2</w:t>
      </w:r>
      <w:r>
        <w:rPr>
          <w:rFonts w:hint="eastAsia" w:ascii="宋体" w:hAnsi="宋体" w:eastAsia="宋体" w:cs="宋体"/>
          <w:sz w:val="24"/>
          <w:szCs w:val="24"/>
        </w:rPr>
        <w:t>种方式对合同价格进行调整：</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第1种方式：采用价格指数进行价格调整。</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关于各可调因子、定值和变值权重，以及基本价格指数及其来源的约定：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第2种方式：采用造价信息进行价格调整。</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（1）允许调整的主要材料（设备）、基期价格、风险系数、投标报价详见《承包人提供主要材料和设备一览表》。</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（2）主要材料确认价：</w:t>
      </w:r>
    </w:p>
    <w:p>
      <w:pPr>
        <w:pStyle w:val="47"/>
        <w:spacing w:line="360" w:lineRule="auto"/>
        <w:ind w:firstLine="480" w:firstLineChars="200"/>
        <w:jc w:val="left"/>
        <w:rPr>
          <w:rFonts w:hint="eastAsia" w:ascii="宋体" w:hAnsi="宋体" w:eastAsia="宋体" w:cs="宋体"/>
          <w:color w:val="auto"/>
          <w:sz w:val="24"/>
          <w:szCs w:val="24"/>
          <w:u w:val="none"/>
          <w:lang w:eastAsia="zh-CN"/>
        </w:rPr>
      </w:pPr>
      <w:r>
        <w:rPr>
          <w:rFonts w:hint="eastAsia" w:ascii="宋体" w:hAnsi="宋体" w:cs="宋体"/>
          <w:color w:val="auto"/>
          <w:sz w:val="24"/>
          <w:szCs w:val="24"/>
          <w:u w:val="none"/>
          <w:lang w:val="en-US" w:eastAsia="zh-CN"/>
        </w:rPr>
        <w:t>1.</w:t>
      </w:r>
      <w:r>
        <w:rPr>
          <w:rFonts w:hint="eastAsia" w:ascii="宋体" w:hAnsi="宋体" w:eastAsia="宋体" w:cs="宋体"/>
          <w:color w:val="auto"/>
          <w:sz w:val="24"/>
          <w:szCs w:val="24"/>
          <w:u w:val="none"/>
        </w:rPr>
        <w:t>按施工期间《河池市建设工程造价信息》加权平均计算，信息价没有的按通用条款规定确定</w:t>
      </w:r>
      <w:r>
        <w:rPr>
          <w:rFonts w:hint="eastAsia" w:ascii="宋体" w:hAnsi="宋体" w:cs="宋体"/>
          <w:color w:val="auto"/>
          <w:sz w:val="24"/>
          <w:szCs w:val="24"/>
          <w:u w:val="none"/>
          <w:lang w:eastAsia="zh-CN"/>
        </w:rPr>
        <w:t>；</w:t>
      </w:r>
    </w:p>
    <w:p>
      <w:pPr>
        <w:pStyle w:val="47"/>
        <w:spacing w:line="360" w:lineRule="auto"/>
        <w:ind w:firstLine="480" w:firstLineChars="200"/>
        <w:jc w:val="left"/>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2. 风险范围：价格浮动超过±5%（含5%的风险范围）调整合同价格</w:t>
      </w:r>
      <w:r>
        <w:rPr>
          <w:rFonts w:hint="eastAsia" w:ascii="宋体" w:hAnsi="宋体" w:cs="宋体"/>
          <w:color w:val="auto"/>
          <w:sz w:val="24"/>
          <w:szCs w:val="24"/>
          <w:u w:val="none"/>
          <w:lang w:eastAsia="zh-CN"/>
        </w:rPr>
        <w:t>；</w:t>
      </w:r>
    </w:p>
    <w:p>
      <w:pPr>
        <w:pStyle w:val="47"/>
        <w:spacing w:line="360" w:lineRule="auto"/>
        <w:ind w:firstLine="480" w:firstLineChars="200"/>
        <w:jc w:val="left"/>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3. 价差调整方式</w:t>
      </w:r>
      <w:r>
        <w:rPr>
          <w:rFonts w:hint="eastAsia" w:ascii="宋体" w:hAnsi="宋体" w:cs="宋体"/>
          <w:color w:val="auto"/>
          <w:sz w:val="24"/>
          <w:szCs w:val="24"/>
          <w:u w:val="none"/>
          <w:lang w:eastAsia="zh-CN"/>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①《承包人提供主要材料和设备一览表》中载明的材料投标报价低于基准价格的：合同履行期间材料单价涨幅以基准价格为基础超过约定的风险范围时，或材料单价跌幅以投标报价为基础超过约定的风险范围时，其超过部分据实调整。</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承包人在《承包人提供主要材料和设备一览表》中载明的材料投标报价高于基准价格的：专用合同条款合同履行期间材料单价跌幅以基准价格为基础超过约定的风险范围时，材料单价涨幅以投标报价为基础超过约定的风险范围时，其超过部分据实调整。</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③承包人在《承包人提供主要材料和设备一览表》中载明的材料单价等于基准单价的：合同履行期间材料单价涨跌幅以基准单价为基础超过约定的风险范围时，其超过部分据实调整。</w:t>
      </w:r>
    </w:p>
    <w:p>
      <w:pPr>
        <w:pStyle w:val="47"/>
        <w:tabs>
          <w:tab w:val="left" w:pos="6480"/>
        </w:tabs>
        <w:spacing w:line="360" w:lineRule="auto"/>
        <w:ind w:firstLine="645"/>
        <w:jc w:val="left"/>
        <w:rPr>
          <w:rFonts w:hint="eastAsia" w:ascii="宋体" w:hAnsi="宋体" w:eastAsia="宋体" w:cs="宋体"/>
          <w:sz w:val="24"/>
          <w:szCs w:val="24"/>
        </w:rPr>
      </w:pPr>
      <w:r>
        <w:rPr>
          <w:rFonts w:hint="eastAsia" w:ascii="宋体" w:hAnsi="宋体" w:eastAsia="宋体" w:cs="宋体"/>
          <w:sz w:val="24"/>
          <w:szCs w:val="24"/>
        </w:rPr>
        <w:t>第3种方式：</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bookmarkEnd w:id="614"/>
    <w:bookmarkEnd w:id="615"/>
    <w:bookmarkEnd w:id="616"/>
    <w:bookmarkEnd w:id="617"/>
    <w:bookmarkEnd w:id="618"/>
    <w:bookmarkEnd w:id="619"/>
    <w:p>
      <w:pPr>
        <w:pStyle w:val="46"/>
        <w:tabs>
          <w:tab w:val="left" w:pos="6480"/>
        </w:tabs>
        <w:spacing w:after="0"/>
        <w:rPr>
          <w:rFonts w:hint="eastAsia" w:ascii="宋体" w:hAnsi="宋体" w:eastAsia="宋体" w:cs="宋体"/>
          <w:sz w:val="24"/>
          <w:szCs w:val="24"/>
        </w:rPr>
      </w:pPr>
      <w:bookmarkStart w:id="784" w:name="_Toc297048391"/>
      <w:bookmarkStart w:id="785" w:name="_Toc297120505"/>
      <w:bookmarkStart w:id="786" w:name="_Toc296347204"/>
      <w:bookmarkStart w:id="787" w:name="_Toc296346706"/>
      <w:bookmarkStart w:id="788" w:name="_Toc296503205"/>
      <w:bookmarkStart w:id="789" w:name="_Toc292559410"/>
      <w:bookmarkStart w:id="790" w:name="_Toc296944544"/>
      <w:bookmarkStart w:id="791" w:name="_Toc296891245"/>
      <w:bookmarkStart w:id="792" w:name="_Toc296891033"/>
      <w:bookmarkStart w:id="793" w:name="_Toc292559915"/>
      <w:bookmarkStart w:id="794" w:name="_Toc508111586"/>
      <w:bookmarkStart w:id="795" w:name="_Toc373478395"/>
      <w:bookmarkStart w:id="796" w:name="_Toc373227748"/>
      <w:bookmarkStart w:id="797" w:name="_Toc27666"/>
      <w:bookmarkStart w:id="798" w:name="_Toc351203644"/>
      <w:bookmarkStart w:id="799" w:name="_Toc466476829"/>
      <w:bookmarkStart w:id="800" w:name="_Toc22213"/>
      <w:bookmarkStart w:id="801" w:name="_Toc304295579"/>
      <w:bookmarkStart w:id="802" w:name="_Toc297216211"/>
      <w:bookmarkStart w:id="803" w:name="_Toc297123552"/>
      <w:bookmarkStart w:id="804" w:name="_Toc300935002"/>
      <w:bookmarkStart w:id="805" w:name="_Toc312678040"/>
      <w:bookmarkStart w:id="806" w:name="_Toc303539159"/>
      <w:r>
        <w:rPr>
          <w:rFonts w:hint="eastAsia" w:ascii="宋体" w:hAnsi="宋体" w:eastAsia="宋体" w:cs="宋体"/>
          <w:sz w:val="24"/>
          <w:szCs w:val="24"/>
        </w:rPr>
        <w:t xml:space="preserve">12. </w:t>
      </w:r>
      <w:bookmarkEnd w:id="784"/>
      <w:bookmarkEnd w:id="785"/>
      <w:bookmarkEnd w:id="786"/>
      <w:bookmarkEnd w:id="787"/>
      <w:bookmarkEnd w:id="788"/>
      <w:bookmarkEnd w:id="789"/>
      <w:bookmarkEnd w:id="790"/>
      <w:bookmarkEnd w:id="791"/>
      <w:bookmarkEnd w:id="792"/>
      <w:bookmarkEnd w:id="793"/>
      <w:r>
        <w:rPr>
          <w:rFonts w:hint="eastAsia" w:ascii="宋体" w:hAnsi="宋体" w:eastAsia="宋体" w:cs="宋体"/>
          <w:sz w:val="24"/>
          <w:szCs w:val="24"/>
        </w:rPr>
        <w:t>合同价格、计量与支付</w:t>
      </w:r>
      <w:bookmarkEnd w:id="794"/>
      <w:bookmarkEnd w:id="795"/>
      <w:bookmarkEnd w:id="796"/>
      <w:bookmarkEnd w:id="797"/>
      <w:bookmarkEnd w:id="798"/>
      <w:bookmarkEnd w:id="799"/>
      <w:bookmarkEnd w:id="800"/>
    </w:p>
    <w:bookmarkEnd w:id="801"/>
    <w:bookmarkEnd w:id="802"/>
    <w:bookmarkEnd w:id="803"/>
    <w:bookmarkEnd w:id="804"/>
    <w:bookmarkEnd w:id="805"/>
    <w:bookmarkEnd w:id="806"/>
    <w:p>
      <w:pPr>
        <w:pStyle w:val="48"/>
        <w:tabs>
          <w:tab w:val="left" w:pos="6480"/>
        </w:tabs>
        <w:spacing w:before="0" w:after="0"/>
        <w:rPr>
          <w:rFonts w:hint="eastAsia" w:ascii="宋体" w:hAnsi="宋体" w:eastAsia="宋体" w:cs="宋体"/>
          <w:sz w:val="24"/>
          <w:szCs w:val="24"/>
        </w:rPr>
      </w:pPr>
      <w:bookmarkStart w:id="807" w:name="_Toc292559411"/>
      <w:bookmarkStart w:id="808" w:name="_Toc267251461"/>
      <w:bookmarkStart w:id="809" w:name="_Toc292559916"/>
      <w:bookmarkStart w:id="810" w:name="_Toc297048392"/>
      <w:bookmarkStart w:id="811" w:name="_Toc296503206"/>
      <w:bookmarkStart w:id="812" w:name="_Toc296346707"/>
      <w:bookmarkStart w:id="813" w:name="_Toc296891034"/>
      <w:bookmarkStart w:id="814" w:name="_Toc296347205"/>
      <w:bookmarkStart w:id="815" w:name="_Toc296944545"/>
      <w:bookmarkStart w:id="816" w:name="_Toc297120506"/>
      <w:bookmarkStart w:id="817" w:name="_Toc296891246"/>
      <w:bookmarkStart w:id="818" w:name="_Toc373227749"/>
      <w:bookmarkStart w:id="819" w:name="_Toc3776"/>
      <w:bookmarkStart w:id="820" w:name="_Toc12369"/>
      <w:bookmarkStart w:id="821" w:name="_Toc373478396"/>
      <w:bookmarkStart w:id="822" w:name="_Toc389065314"/>
      <w:bookmarkStart w:id="823" w:name="_Toc466476830"/>
      <w:bookmarkStart w:id="824" w:name="_Toc508111587"/>
      <w:bookmarkStart w:id="825" w:name="_Toc297216212"/>
      <w:bookmarkStart w:id="826" w:name="_Toc312678041"/>
      <w:bookmarkStart w:id="827" w:name="_Toc300935003"/>
      <w:bookmarkStart w:id="828" w:name="_Toc304295580"/>
      <w:bookmarkStart w:id="829" w:name="_Toc297123553"/>
      <w:bookmarkStart w:id="830" w:name="_Toc303539160"/>
      <w:r>
        <w:rPr>
          <w:rFonts w:hint="eastAsia" w:ascii="宋体" w:hAnsi="宋体" w:eastAsia="宋体" w:cs="宋体"/>
          <w:sz w:val="24"/>
          <w:szCs w:val="24"/>
        </w:rPr>
        <w:t>12.1 合</w:t>
      </w:r>
      <w:bookmarkEnd w:id="807"/>
      <w:bookmarkEnd w:id="808"/>
      <w:bookmarkEnd w:id="809"/>
      <w:r>
        <w:rPr>
          <w:rFonts w:hint="eastAsia" w:ascii="宋体" w:hAnsi="宋体" w:eastAsia="宋体" w:cs="宋体"/>
          <w:sz w:val="24"/>
          <w:szCs w:val="24"/>
        </w:rPr>
        <w:t>同价</w:t>
      </w:r>
      <w:bookmarkEnd w:id="810"/>
      <w:bookmarkEnd w:id="811"/>
      <w:bookmarkEnd w:id="812"/>
      <w:bookmarkEnd w:id="813"/>
      <w:bookmarkEnd w:id="814"/>
      <w:bookmarkEnd w:id="815"/>
      <w:bookmarkEnd w:id="816"/>
      <w:bookmarkEnd w:id="817"/>
      <w:r>
        <w:rPr>
          <w:rFonts w:hint="eastAsia" w:ascii="宋体" w:hAnsi="宋体" w:eastAsia="宋体" w:cs="宋体"/>
          <w:sz w:val="24"/>
          <w:szCs w:val="24"/>
        </w:rPr>
        <w:t>格形式</w:t>
      </w:r>
      <w:bookmarkEnd w:id="818"/>
      <w:bookmarkEnd w:id="819"/>
      <w:bookmarkEnd w:id="820"/>
      <w:bookmarkEnd w:id="821"/>
      <w:bookmarkEnd w:id="822"/>
      <w:bookmarkEnd w:id="823"/>
      <w:bookmarkEnd w:id="824"/>
    </w:p>
    <w:bookmarkEnd w:id="825"/>
    <w:bookmarkEnd w:id="826"/>
    <w:bookmarkEnd w:id="827"/>
    <w:bookmarkEnd w:id="828"/>
    <w:bookmarkEnd w:id="829"/>
    <w:bookmarkEnd w:id="830"/>
    <w:p>
      <w:pPr>
        <w:pStyle w:val="47"/>
        <w:ind w:firstLine="480" w:firstLineChars="200"/>
        <w:rPr>
          <w:rFonts w:hint="eastAsia" w:ascii="宋体" w:hAnsi="宋体" w:eastAsia="宋体" w:cs="宋体"/>
          <w:sz w:val="24"/>
          <w:szCs w:val="24"/>
        </w:rPr>
      </w:pPr>
      <w:bookmarkStart w:id="831" w:name="_Toc373478397"/>
      <w:bookmarkStart w:id="832" w:name="_Toc373227750"/>
      <w:bookmarkStart w:id="833" w:name="_Toc389065315"/>
      <w:bookmarkStart w:id="834" w:name="_Toc304295581"/>
      <w:bookmarkStart w:id="835" w:name="_Toc312678042"/>
      <w:bookmarkStart w:id="836" w:name="_Toc300935004"/>
      <w:bookmarkStart w:id="837" w:name="_Toc297216213"/>
      <w:bookmarkStart w:id="838" w:name="_Toc297123554"/>
      <w:bookmarkStart w:id="839" w:name="_Toc303539161"/>
      <w:bookmarkStart w:id="840" w:name="_Toc296891035"/>
      <w:bookmarkStart w:id="841" w:name="_Toc296944546"/>
      <w:bookmarkStart w:id="842" w:name="_Toc292559412"/>
      <w:bookmarkStart w:id="843" w:name="_Toc296503207"/>
      <w:bookmarkStart w:id="844" w:name="_Toc297048393"/>
      <w:bookmarkStart w:id="845" w:name="_Toc296891247"/>
      <w:bookmarkStart w:id="846" w:name="_Toc297120507"/>
      <w:bookmarkStart w:id="847" w:name="_Toc292559917"/>
      <w:bookmarkStart w:id="848" w:name="_Toc296347206"/>
      <w:bookmarkStart w:id="849" w:name="_Toc296346708"/>
      <w:r>
        <w:rPr>
          <w:rFonts w:hint="eastAsia" w:ascii="宋体" w:hAnsi="宋体" w:eastAsia="宋体" w:cs="宋体"/>
          <w:sz w:val="24"/>
          <w:szCs w:val="24"/>
        </w:rPr>
        <w:t>本工程采用</w:t>
      </w:r>
      <w:r>
        <w:rPr>
          <w:rFonts w:hint="eastAsia" w:ascii="宋体" w:hAnsi="宋体" w:eastAsia="宋体" w:cs="宋体"/>
          <w:sz w:val="24"/>
          <w:szCs w:val="24"/>
          <w:u w:val="single"/>
        </w:rPr>
        <w:t xml:space="preserve">  （1）  </w:t>
      </w:r>
      <w:r>
        <w:rPr>
          <w:rFonts w:hint="eastAsia" w:ascii="宋体" w:hAnsi="宋体" w:eastAsia="宋体" w:cs="宋体"/>
          <w:sz w:val="24"/>
          <w:szCs w:val="24"/>
        </w:rPr>
        <w:t>合同价格形式。</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（1）单价合同。</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单价合同采用综合单价方式确定，工程量按实际结算。</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综合单价包含的风险范围：</w:t>
      </w:r>
      <w:r>
        <w:rPr>
          <w:rFonts w:hint="eastAsia" w:ascii="宋体" w:hAnsi="宋体" w:eastAsia="宋体" w:cs="宋体"/>
          <w:sz w:val="24"/>
          <w:szCs w:val="24"/>
          <w:u w:val="single"/>
        </w:rPr>
        <w:t>除工程变更、项目特征不符、政策性调整、《承包人提供主要材料和设备一览表》约定的材料、设备价格变动风险以外因素。</w:t>
      </w:r>
    </w:p>
    <w:p>
      <w:pPr>
        <w:pStyle w:val="49"/>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风险范围以外合同价格的调整方法：</w:t>
      </w:r>
    </w:p>
    <w:p>
      <w:pPr>
        <w:pStyle w:val="49"/>
        <w:spacing w:line="360" w:lineRule="auto"/>
        <w:ind w:firstLine="504" w:firstLineChars="210"/>
        <w:rPr>
          <w:rFonts w:hint="eastAsia" w:ascii="宋体" w:hAnsi="宋体" w:eastAsia="宋体" w:cs="宋体"/>
          <w:sz w:val="24"/>
          <w:szCs w:val="24"/>
          <w:u w:val="single"/>
        </w:rPr>
      </w:pPr>
      <w:r>
        <w:rPr>
          <w:rFonts w:hint="eastAsia" w:ascii="宋体" w:hAnsi="宋体" w:eastAsia="宋体" w:cs="宋体"/>
          <w:sz w:val="24"/>
          <w:szCs w:val="24"/>
        </w:rPr>
        <w:t>①工程变更：</w:t>
      </w:r>
      <w:r>
        <w:rPr>
          <w:rFonts w:hint="eastAsia" w:ascii="宋体" w:hAnsi="宋体" w:eastAsia="宋体" w:cs="宋体"/>
          <w:sz w:val="24"/>
          <w:szCs w:val="24"/>
          <w:u w:val="single"/>
        </w:rPr>
        <w:t>按专用合同条款10.4.1变更估价原则的约定调整。</w:t>
      </w:r>
    </w:p>
    <w:p>
      <w:pPr>
        <w:pStyle w:val="49"/>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②政策性调整：</w:t>
      </w:r>
      <w:r>
        <w:rPr>
          <w:rFonts w:hint="eastAsia" w:ascii="宋体" w:hAnsi="宋体" w:eastAsia="宋体" w:cs="宋体"/>
          <w:sz w:val="24"/>
          <w:szCs w:val="24"/>
          <w:u w:val="single"/>
        </w:rPr>
        <w:t>按自治区建设行政主管部门颁布的文件执行。</w:t>
      </w:r>
    </w:p>
    <w:p>
      <w:pPr>
        <w:pStyle w:val="49"/>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③材料价格风险：</w:t>
      </w:r>
      <w:r>
        <w:rPr>
          <w:rFonts w:hint="eastAsia" w:ascii="宋体" w:hAnsi="宋体" w:eastAsia="宋体" w:cs="宋体"/>
          <w:sz w:val="24"/>
          <w:szCs w:val="24"/>
          <w:u w:val="single"/>
        </w:rPr>
        <w:t>按专用合同条款11.1的约定调整。</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④其它：</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（2）总价合同。</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总价包含的风险范围：</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风险范围以外合同价格的调整方法：</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（3）其他价格方式：</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850" w:name="_Toc466476831"/>
      <w:bookmarkStart w:id="851" w:name="_Toc508111588"/>
      <w:bookmarkStart w:id="852" w:name="_Toc5493"/>
      <w:bookmarkStart w:id="853" w:name="_Toc11935"/>
      <w:r>
        <w:rPr>
          <w:rFonts w:hint="eastAsia" w:ascii="宋体" w:hAnsi="宋体" w:eastAsia="宋体" w:cs="宋体"/>
          <w:sz w:val="24"/>
          <w:szCs w:val="24"/>
        </w:rPr>
        <w:t>12.2 预付款</w:t>
      </w:r>
      <w:bookmarkEnd w:id="831"/>
      <w:bookmarkEnd w:id="832"/>
      <w:bookmarkEnd w:id="833"/>
      <w:bookmarkEnd w:id="850"/>
      <w:bookmarkEnd w:id="851"/>
      <w:bookmarkEnd w:id="852"/>
      <w:bookmarkEnd w:id="853"/>
    </w:p>
    <w:bookmarkEnd w:id="834"/>
    <w:bookmarkEnd w:id="835"/>
    <w:bookmarkEnd w:id="836"/>
    <w:bookmarkEnd w:id="837"/>
    <w:bookmarkEnd w:id="838"/>
    <w:bookmarkEnd w:id="839"/>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12.2.1 预付款的支付</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预付款支付比例或金额：</w:t>
      </w:r>
      <w:r>
        <w:rPr>
          <w:rFonts w:hint="eastAsia" w:ascii="宋体" w:hAnsi="宋体" w:eastAsia="宋体" w:cs="宋体"/>
          <w:sz w:val="24"/>
          <w:szCs w:val="24"/>
          <w:u w:val="single"/>
        </w:rPr>
        <w:t>无预付款</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 xml:space="preserve">预付款支付期限：无 </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预付款扣回的方式：无</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12.2.2 预付款担保</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承包人提交预付款担保的期限：</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预付款担保的形式为：</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预付款担保格式见合同附件7。</w:t>
      </w:r>
    </w:p>
    <w:bookmarkEnd w:id="840"/>
    <w:bookmarkEnd w:id="841"/>
    <w:bookmarkEnd w:id="842"/>
    <w:bookmarkEnd w:id="843"/>
    <w:bookmarkEnd w:id="844"/>
    <w:bookmarkEnd w:id="845"/>
    <w:bookmarkEnd w:id="846"/>
    <w:bookmarkEnd w:id="847"/>
    <w:bookmarkEnd w:id="848"/>
    <w:bookmarkEnd w:id="849"/>
    <w:p>
      <w:pPr>
        <w:pStyle w:val="48"/>
        <w:tabs>
          <w:tab w:val="left" w:pos="6480"/>
        </w:tabs>
        <w:spacing w:before="0" w:after="0"/>
        <w:rPr>
          <w:rFonts w:hint="eastAsia" w:ascii="宋体" w:hAnsi="宋体" w:eastAsia="宋体" w:cs="宋体"/>
          <w:sz w:val="24"/>
          <w:szCs w:val="24"/>
        </w:rPr>
      </w:pPr>
      <w:bookmarkStart w:id="854" w:name="_Toc373478398"/>
      <w:bookmarkStart w:id="855" w:name="_Toc508111589"/>
      <w:bookmarkStart w:id="856" w:name="_Toc28939"/>
      <w:bookmarkStart w:id="857" w:name="_Toc389065316"/>
      <w:bookmarkStart w:id="858" w:name="_Toc17234"/>
      <w:bookmarkStart w:id="859" w:name="_Toc466476832"/>
      <w:bookmarkStart w:id="860" w:name="_Toc373227751"/>
      <w:r>
        <w:rPr>
          <w:rFonts w:hint="eastAsia" w:ascii="宋体" w:hAnsi="宋体" w:eastAsia="宋体" w:cs="宋体"/>
          <w:sz w:val="24"/>
          <w:szCs w:val="24"/>
        </w:rPr>
        <w:t>12.3 计量</w:t>
      </w:r>
      <w:bookmarkEnd w:id="854"/>
      <w:bookmarkEnd w:id="855"/>
      <w:bookmarkEnd w:id="856"/>
      <w:bookmarkEnd w:id="857"/>
      <w:bookmarkEnd w:id="858"/>
      <w:bookmarkEnd w:id="859"/>
      <w:bookmarkEnd w:id="860"/>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12.3.1 计量原则</w:t>
      </w:r>
    </w:p>
    <w:p>
      <w:pPr>
        <w:pStyle w:val="47"/>
        <w:spacing w:line="360" w:lineRule="auto"/>
        <w:ind w:firstLine="480" w:firstLineChars="200"/>
        <w:jc w:val="both"/>
        <w:rPr>
          <w:rFonts w:hint="eastAsia" w:ascii="宋体" w:hAnsi="宋体" w:eastAsia="宋体" w:cs="宋体"/>
          <w:color w:val="FF0000"/>
          <w:sz w:val="24"/>
          <w:szCs w:val="24"/>
        </w:rPr>
      </w:pPr>
      <w:r>
        <w:rPr>
          <w:rFonts w:hint="eastAsia" w:ascii="宋体" w:hAnsi="宋体" w:eastAsia="宋体" w:cs="宋体"/>
          <w:sz w:val="24"/>
          <w:szCs w:val="24"/>
        </w:rPr>
        <w:t>工程量计算规则：</w:t>
      </w:r>
      <w:r>
        <w:rPr>
          <w:rFonts w:hint="eastAsia" w:ascii="宋体" w:hAnsi="宋体" w:eastAsia="宋体" w:cs="宋体"/>
          <w:color w:val="FF0000"/>
          <w:sz w:val="24"/>
          <w:szCs w:val="24"/>
          <w:u w:val="single"/>
          <w:lang w:eastAsia="zh-CN"/>
        </w:rPr>
        <w:t>工程的计量均以国家标准</w:t>
      </w:r>
      <w:r>
        <w:rPr>
          <w:rFonts w:hint="eastAsia" w:ascii="宋体" w:hAnsi="宋体" w:eastAsia="宋体" w:cs="宋体"/>
          <w:color w:val="FF0000"/>
          <w:kern w:val="0"/>
          <w:sz w:val="24"/>
          <w:szCs w:val="24"/>
          <w:u w:val="single"/>
        </w:rPr>
        <w:t>《建设工程工程量清单计价规范（GB50500-2013）》及其广西实施细则、《建设工程工程量计算规范（GB50854~50862-2013）》及其广西实施细则（修订本）</w:t>
      </w:r>
      <w:r>
        <w:rPr>
          <w:rFonts w:hint="eastAsia" w:ascii="宋体" w:hAnsi="宋体" w:eastAsia="宋体" w:cs="宋体"/>
          <w:color w:val="FF0000"/>
          <w:kern w:val="0"/>
          <w:sz w:val="24"/>
          <w:szCs w:val="24"/>
          <w:u w:val="single"/>
          <w:lang w:eastAsia="zh-CN"/>
        </w:rPr>
        <w:t>计算的净值为准，如有不明之处，应按监理工程师或造价管理部门指定的计量方法为准</w:t>
      </w:r>
      <w:r>
        <w:rPr>
          <w:rFonts w:hint="eastAsia" w:ascii="宋体" w:hAnsi="宋体" w:eastAsia="宋体" w:cs="宋体"/>
          <w:color w:val="FF0000"/>
          <w:kern w:val="0"/>
          <w:sz w:val="24"/>
          <w:szCs w:val="24"/>
          <w:u w:val="none"/>
          <w:lang w:eastAsia="zh-CN"/>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12.3.2 计量周期</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关于计量周期的约定：</w:t>
      </w:r>
      <w:r>
        <w:rPr>
          <w:rFonts w:hint="eastAsia" w:ascii="宋体" w:hAnsi="宋体" w:eastAsia="宋体" w:cs="宋体"/>
          <w:sz w:val="24"/>
          <w:szCs w:val="24"/>
          <w:u w:val="single"/>
        </w:rPr>
        <w:t>每月25日前</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12.3.3 单价合同的计量</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关于单价合同计量的约定：</w:t>
      </w:r>
    </w:p>
    <w:p>
      <w:pPr>
        <w:pStyle w:val="47"/>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(1) 工程量清单所列的工程量，不能作为承包人按合同履行其责任依据，实际施工中发生的工程量增加或减少并不影响承包人履行合同的责任，工程结算以完成的实际工程量为准。</w:t>
      </w:r>
    </w:p>
    <w:p>
      <w:pPr>
        <w:pStyle w:val="47"/>
        <w:spacing w:line="360" w:lineRule="auto"/>
        <w:ind w:firstLine="504" w:firstLineChars="210"/>
        <w:rPr>
          <w:rFonts w:hint="eastAsia" w:ascii="宋体" w:hAnsi="宋体" w:eastAsia="宋体" w:cs="宋体"/>
          <w:sz w:val="24"/>
          <w:szCs w:val="24"/>
        </w:rPr>
      </w:pPr>
      <w:r>
        <w:rPr>
          <w:rFonts w:hint="eastAsia" w:ascii="宋体" w:hAnsi="宋体" w:eastAsia="宋体" w:cs="宋体"/>
          <w:sz w:val="24"/>
          <w:szCs w:val="24"/>
        </w:rPr>
        <w:t>(2) 除另有规定外，工程师应按照合同通过计量来核实确定已完成的工程量和价款，承包人应得到该价款扣除保留金后的金额。当工程师要对已完工的工程量进行计量时，应适时地通知承包人参加。</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12.3.4 总价合同的计量</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关于总价合同计量的约定：除工程变更外，原图纸范围内的工程量不得按实计量。进度款按支付分解表支付，按通用条款第</w:t>
      </w:r>
      <w:r>
        <w:rPr>
          <w:rFonts w:hint="eastAsia" w:ascii="宋体" w:hAnsi="宋体" w:eastAsia="宋体" w:cs="宋体"/>
          <w:kern w:val="0"/>
          <w:sz w:val="24"/>
          <w:szCs w:val="24"/>
        </w:rPr>
        <w:t>12.3.4</w:t>
      </w:r>
      <w:r>
        <w:rPr>
          <w:rFonts w:hint="eastAsia" w:ascii="宋体" w:hAnsi="宋体" w:eastAsia="宋体" w:cs="宋体"/>
          <w:sz w:val="24"/>
          <w:szCs w:val="24"/>
        </w:rPr>
        <w:t>项</w:t>
      </w:r>
      <w:r>
        <w:rPr>
          <w:rFonts w:hint="eastAsia" w:ascii="宋体" w:hAnsi="宋体" w:eastAsia="宋体" w:cs="宋体"/>
          <w:kern w:val="0"/>
          <w:sz w:val="24"/>
          <w:szCs w:val="24"/>
        </w:rPr>
        <w:t>〔总价合同的计量〕</w:t>
      </w:r>
      <w:r>
        <w:rPr>
          <w:rFonts w:hint="eastAsia" w:ascii="宋体" w:hAnsi="宋体" w:eastAsia="宋体" w:cs="宋体"/>
          <w:sz w:val="24"/>
          <w:szCs w:val="24"/>
        </w:rPr>
        <w:t>约定进行计量，但</w:t>
      </w:r>
      <w:r>
        <w:rPr>
          <w:rFonts w:hint="eastAsia" w:ascii="宋体" w:hAnsi="宋体" w:eastAsia="宋体" w:cs="宋体"/>
          <w:kern w:val="0"/>
          <w:sz w:val="24"/>
          <w:szCs w:val="24"/>
        </w:rPr>
        <w:t>合同价款按照支付分解表进行支付。</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12.3.6 其他价格形式合同的计量</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其他价格形式的计量方式和程序：</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861" w:name="_Toc373227752"/>
      <w:bookmarkStart w:id="862" w:name="_Toc373478399"/>
      <w:bookmarkStart w:id="863" w:name="_Toc1300"/>
      <w:bookmarkStart w:id="864" w:name="_Toc7000"/>
      <w:bookmarkStart w:id="865" w:name="_Toc508111590"/>
      <w:bookmarkStart w:id="866" w:name="_Toc389065317"/>
      <w:bookmarkStart w:id="867" w:name="_Toc466476833"/>
      <w:r>
        <w:rPr>
          <w:rFonts w:hint="eastAsia" w:ascii="宋体" w:hAnsi="宋体" w:eastAsia="宋体" w:cs="宋体"/>
          <w:sz w:val="24"/>
          <w:szCs w:val="24"/>
        </w:rPr>
        <w:t>12.4 工程进度款支付</w:t>
      </w:r>
      <w:bookmarkEnd w:id="861"/>
      <w:bookmarkEnd w:id="862"/>
      <w:bookmarkEnd w:id="863"/>
      <w:bookmarkEnd w:id="864"/>
      <w:bookmarkEnd w:id="865"/>
      <w:bookmarkEnd w:id="866"/>
      <w:bookmarkEnd w:id="867"/>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12.4.1 付款周期</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关于付款周期的约定：</w:t>
      </w:r>
      <w:r>
        <w:rPr>
          <w:rFonts w:hint="eastAsia" w:ascii="宋体" w:hAnsi="宋体" w:eastAsia="宋体" w:cs="宋体"/>
          <w:color w:val="FF0000"/>
          <w:sz w:val="24"/>
          <w:szCs w:val="24"/>
          <w:u w:val="single"/>
        </w:rPr>
        <w:t>完成工程竣工验收达到质量要求，支付至合同总价的80%，办理完成竣工结算后，工程款支付至结算总价的97%（含已经支付的）；发包人按工程价款结算总额的3%预留工程质量保修金，待工程缺陷责任期满后返还（无息）</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12.4.2 进度付款申请单的编制</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关于进度付款申请单编制的约定：</w:t>
      </w:r>
      <w:r>
        <w:rPr>
          <w:rFonts w:hint="eastAsia" w:ascii="宋体" w:hAnsi="宋体" w:eastAsia="宋体" w:cs="宋体"/>
          <w:sz w:val="24"/>
          <w:szCs w:val="24"/>
          <w:u w:val="single"/>
        </w:rPr>
        <w:t>按通用条款第12.4.2款执行</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12.4.3 进度付款申请单的提交</w:t>
      </w:r>
    </w:p>
    <w:p>
      <w:pPr>
        <w:pStyle w:val="47"/>
        <w:spacing w:line="360" w:lineRule="auto"/>
        <w:ind w:firstLine="480" w:firstLineChars="200"/>
        <w:jc w:val="left"/>
        <w:rPr>
          <w:rFonts w:hint="eastAsia" w:ascii="宋体" w:hAnsi="宋体" w:eastAsia="宋体" w:cs="宋体"/>
          <w:b/>
          <w:bCs/>
          <w:sz w:val="24"/>
          <w:szCs w:val="24"/>
          <w:u w:val="single"/>
        </w:rPr>
      </w:pPr>
      <w:r>
        <w:rPr>
          <w:rFonts w:hint="eastAsia" w:ascii="宋体" w:hAnsi="宋体" w:eastAsia="宋体" w:cs="宋体"/>
          <w:sz w:val="24"/>
          <w:szCs w:val="24"/>
        </w:rPr>
        <w:t>（1）单价合同进度付款申请单提交的约定：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highlight w:val="green"/>
        </w:rPr>
        <w:t>2）总价合同进度付款申请单提交的约定：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（3）其他价格形式合同进度付款申请单提交的约定：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12.4.4 进度款审核和支付</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（1）监理人审查并报送发包人的期限：</w:t>
      </w:r>
      <w:r>
        <w:rPr>
          <w:rFonts w:hint="eastAsia" w:ascii="宋体" w:hAnsi="宋体" w:eastAsia="宋体" w:cs="宋体"/>
          <w:sz w:val="24"/>
          <w:szCs w:val="24"/>
          <w:u w:val="single"/>
        </w:rPr>
        <w:t>监理人应收到承包人进度付款申请单以及相关资料后7天内完成审查并报送发包人</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发包人完成审批并签发进度款支付证书的期限：</w:t>
      </w:r>
      <w:r>
        <w:rPr>
          <w:rFonts w:hint="eastAsia" w:ascii="宋体" w:hAnsi="宋体" w:eastAsia="宋体" w:cs="宋体"/>
          <w:sz w:val="24"/>
          <w:szCs w:val="24"/>
          <w:u w:val="single"/>
        </w:rPr>
        <w:t>发包人应在收到监理人报送的进度付款申请单及相关资料后7天内完成审批并发进度支付证书</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（2）发包人支付进度款的期限：</w:t>
      </w:r>
      <w:r>
        <w:rPr>
          <w:rFonts w:hint="eastAsia" w:ascii="宋体" w:hAnsi="宋体" w:eastAsia="宋体" w:cs="宋体"/>
          <w:sz w:val="24"/>
          <w:szCs w:val="24"/>
          <w:u w:val="single"/>
        </w:rPr>
        <w:t>发包人应在进度款支付证书或临时进度款支付证书签发后14个工作日内完成支付</w:t>
      </w:r>
      <w:r>
        <w:rPr>
          <w:rFonts w:hint="eastAsia" w:ascii="宋体" w:hAnsi="宋体" w:eastAsia="宋体" w:cs="宋体"/>
          <w:sz w:val="24"/>
          <w:szCs w:val="24"/>
        </w:rPr>
        <w:t>。</w:t>
      </w:r>
    </w:p>
    <w:p>
      <w:pPr>
        <w:pStyle w:val="47"/>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发包人逾期支付进度款的违约金的计算方式：</w:t>
      </w:r>
      <w:r>
        <w:rPr>
          <w:rFonts w:hint="eastAsia" w:ascii="宋体" w:hAnsi="宋体" w:eastAsia="宋体" w:cs="宋体"/>
          <w:sz w:val="24"/>
          <w:szCs w:val="24"/>
          <w:u w:val="single"/>
        </w:rPr>
        <w:t>每天赔偿金额为逾期支付工程合同价款扣除建安劳保费、发包人材料价款、暂估专业工程、暂列金额后的的万分之四</w:t>
      </w:r>
      <w:r>
        <w:rPr>
          <w:rFonts w:hint="eastAsia" w:ascii="宋体" w:hAnsi="宋体" w:eastAsia="宋体" w:cs="宋体"/>
          <w:sz w:val="24"/>
          <w:szCs w:val="24"/>
        </w:rPr>
        <w:t>。</w:t>
      </w:r>
    </w:p>
    <w:p>
      <w:pPr>
        <w:pStyle w:val="47"/>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进度款支付方式：</w:t>
      </w:r>
      <w:r>
        <w:rPr>
          <w:rFonts w:hint="eastAsia" w:ascii="宋体" w:hAnsi="宋体" w:eastAsia="宋体" w:cs="宋体"/>
          <w:sz w:val="24"/>
          <w:szCs w:val="24"/>
          <w:u w:val="single"/>
        </w:rPr>
        <w:t>银行转账。所有工程款由发包人经银行转帐支付至承包人指定的银行账户，其他支付方式承包人均不予确认</w:t>
      </w:r>
      <w:r>
        <w:rPr>
          <w:rFonts w:hint="eastAsia" w:ascii="宋体" w:hAnsi="宋体" w:eastAsia="宋体" w:cs="宋体"/>
          <w:sz w:val="24"/>
          <w:szCs w:val="24"/>
        </w:rPr>
        <w:t>。</w:t>
      </w:r>
    </w:p>
    <w:p>
      <w:pPr>
        <w:pStyle w:val="47"/>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12.4.6 支付分解表的编制</w:t>
      </w:r>
    </w:p>
    <w:p>
      <w:pPr>
        <w:pStyle w:val="47"/>
        <w:spacing w:line="360" w:lineRule="auto"/>
        <w:ind w:firstLine="600" w:firstLineChars="250"/>
        <w:jc w:val="left"/>
        <w:rPr>
          <w:rFonts w:hint="eastAsia" w:ascii="宋体" w:hAnsi="宋体" w:eastAsia="宋体" w:cs="宋体"/>
          <w:sz w:val="24"/>
          <w:szCs w:val="24"/>
          <w:u w:val="single"/>
        </w:rPr>
      </w:pPr>
      <w:r>
        <w:rPr>
          <w:rFonts w:hint="eastAsia" w:ascii="宋体" w:hAnsi="宋体" w:eastAsia="宋体" w:cs="宋体"/>
          <w:sz w:val="24"/>
          <w:szCs w:val="24"/>
        </w:rPr>
        <w:t>2. 总价合同支付分解表的编制与审批：</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tabs>
          <w:tab w:val="left" w:pos="6480"/>
        </w:tabs>
        <w:spacing w:line="360" w:lineRule="auto"/>
        <w:ind w:firstLine="600" w:firstLineChars="250"/>
        <w:jc w:val="left"/>
        <w:rPr>
          <w:rFonts w:hint="eastAsia" w:ascii="宋体" w:hAnsi="宋体" w:eastAsia="宋体" w:cs="宋体"/>
          <w:sz w:val="24"/>
          <w:szCs w:val="24"/>
          <w:u w:val="single"/>
        </w:rPr>
      </w:pPr>
      <w:r>
        <w:rPr>
          <w:rFonts w:hint="eastAsia" w:ascii="宋体" w:hAnsi="宋体" w:eastAsia="宋体" w:cs="宋体"/>
          <w:sz w:val="24"/>
          <w:szCs w:val="24"/>
        </w:rPr>
        <w:t>3. 单价合同的总价项目支付分解表的编制与审批：总价项目不采用支付分解表的方式计算，而按《建设工程工程量清单计价规范（GB50500-2013）广西壮族自治区实施细则》的规定执行。</w:t>
      </w:r>
    </w:p>
    <w:bookmarkEnd w:id="620"/>
    <w:p>
      <w:pPr>
        <w:pStyle w:val="46"/>
        <w:tabs>
          <w:tab w:val="left" w:pos="6480"/>
        </w:tabs>
        <w:spacing w:after="0"/>
        <w:rPr>
          <w:rFonts w:hint="eastAsia" w:ascii="宋体" w:hAnsi="宋体" w:eastAsia="宋体" w:cs="宋体"/>
          <w:sz w:val="24"/>
          <w:szCs w:val="24"/>
        </w:rPr>
      </w:pPr>
      <w:bookmarkStart w:id="868" w:name="_Toc389065318"/>
      <w:bookmarkStart w:id="869" w:name="_Toc351203645"/>
      <w:bookmarkStart w:id="870" w:name="_Toc29738"/>
      <w:bookmarkStart w:id="871" w:name="_Toc373227753"/>
      <w:bookmarkStart w:id="872" w:name="_Toc177"/>
      <w:bookmarkStart w:id="873" w:name="_Toc373478400"/>
      <w:bookmarkStart w:id="874" w:name="_Toc466476834"/>
      <w:bookmarkStart w:id="875" w:name="_Toc508111591"/>
      <w:bookmarkStart w:id="876" w:name="_Toc292559424"/>
      <w:bookmarkStart w:id="877" w:name="_Toc297120519"/>
      <w:bookmarkStart w:id="878" w:name="_Toc300935015"/>
      <w:bookmarkStart w:id="879" w:name="_Toc312678053"/>
      <w:bookmarkStart w:id="880" w:name="_Toc297216223"/>
      <w:bookmarkStart w:id="881" w:name="_Toc296944558"/>
      <w:bookmarkStart w:id="882" w:name="_Toc296503219"/>
      <w:bookmarkStart w:id="883" w:name="_Toc296347218"/>
      <w:bookmarkStart w:id="884" w:name="_Toc292559929"/>
      <w:bookmarkStart w:id="885" w:name="_Toc296891259"/>
      <w:bookmarkStart w:id="886" w:name="_Toc303539172"/>
      <w:bookmarkStart w:id="887" w:name="_Toc297123564"/>
      <w:bookmarkStart w:id="888" w:name="_Toc297048405"/>
      <w:bookmarkStart w:id="889" w:name="_Toc304295593"/>
      <w:bookmarkStart w:id="890" w:name="_Toc296346720"/>
      <w:bookmarkStart w:id="891" w:name="_Toc296891047"/>
      <w:r>
        <w:rPr>
          <w:rFonts w:hint="eastAsia" w:ascii="宋体" w:hAnsi="宋体" w:eastAsia="宋体" w:cs="宋体"/>
          <w:sz w:val="24"/>
          <w:szCs w:val="24"/>
        </w:rPr>
        <w:t>13. 验收和工程试车</w:t>
      </w:r>
      <w:bookmarkEnd w:id="868"/>
      <w:bookmarkEnd w:id="869"/>
      <w:bookmarkEnd w:id="870"/>
      <w:bookmarkEnd w:id="871"/>
      <w:bookmarkEnd w:id="872"/>
      <w:bookmarkEnd w:id="873"/>
      <w:bookmarkEnd w:id="874"/>
      <w:bookmarkEnd w:id="875"/>
    </w:p>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Pr>
        <w:pStyle w:val="48"/>
        <w:tabs>
          <w:tab w:val="left" w:pos="6480"/>
        </w:tabs>
        <w:spacing w:before="0" w:after="0"/>
        <w:rPr>
          <w:rFonts w:hint="eastAsia" w:ascii="宋体" w:hAnsi="宋体" w:eastAsia="宋体" w:cs="宋体"/>
          <w:sz w:val="24"/>
          <w:szCs w:val="24"/>
        </w:rPr>
      </w:pPr>
      <w:bookmarkStart w:id="892" w:name="_Toc373478401"/>
      <w:bookmarkStart w:id="893" w:name="_Toc373227754"/>
      <w:bookmarkStart w:id="894" w:name="_Toc389065319"/>
      <w:bookmarkStart w:id="895" w:name="_Toc4867"/>
      <w:bookmarkStart w:id="896" w:name="_Toc11783"/>
      <w:bookmarkStart w:id="897" w:name="_Toc466476835"/>
      <w:bookmarkStart w:id="898" w:name="_Toc508111592"/>
      <w:r>
        <w:rPr>
          <w:rFonts w:hint="eastAsia" w:ascii="宋体" w:hAnsi="宋体" w:eastAsia="宋体" w:cs="宋体"/>
          <w:sz w:val="24"/>
          <w:szCs w:val="24"/>
        </w:rPr>
        <w:t>13.1 分部分项工程验收</w:t>
      </w:r>
      <w:bookmarkEnd w:id="892"/>
      <w:bookmarkEnd w:id="893"/>
      <w:bookmarkEnd w:id="894"/>
      <w:bookmarkEnd w:id="895"/>
      <w:bookmarkEnd w:id="896"/>
      <w:bookmarkEnd w:id="897"/>
      <w:bookmarkEnd w:id="898"/>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13.1.2监理人不能按时进行验收时，应提前</w:t>
      </w:r>
      <w:r>
        <w:rPr>
          <w:rFonts w:hint="eastAsia" w:ascii="宋体" w:hAnsi="宋体" w:eastAsia="宋体" w:cs="宋体"/>
          <w:sz w:val="24"/>
          <w:szCs w:val="24"/>
          <w:u w:val="single"/>
        </w:rPr>
        <w:t xml:space="preserve">  24   </w:t>
      </w:r>
      <w:r>
        <w:rPr>
          <w:rFonts w:hint="eastAsia" w:ascii="宋体" w:hAnsi="宋体" w:eastAsia="宋体" w:cs="宋体"/>
          <w:sz w:val="24"/>
          <w:szCs w:val="24"/>
        </w:rPr>
        <w:t>小时提交书面延期要求。</w:t>
      </w:r>
    </w:p>
    <w:p>
      <w:pPr>
        <w:pStyle w:val="47"/>
        <w:tabs>
          <w:tab w:val="left" w:pos="6480"/>
        </w:tabs>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关于延期最长不得超过：</w:t>
      </w:r>
      <w:r>
        <w:rPr>
          <w:rFonts w:hint="eastAsia" w:ascii="宋体" w:hAnsi="宋体" w:eastAsia="宋体" w:cs="宋体"/>
          <w:sz w:val="24"/>
          <w:szCs w:val="24"/>
          <w:u w:val="single"/>
        </w:rPr>
        <w:t xml:space="preserve">   48   </w:t>
      </w:r>
      <w:r>
        <w:rPr>
          <w:rFonts w:hint="eastAsia" w:ascii="宋体" w:hAnsi="宋体" w:eastAsia="宋体" w:cs="宋体"/>
          <w:sz w:val="24"/>
          <w:szCs w:val="24"/>
        </w:rPr>
        <w:t>小时。</w:t>
      </w:r>
    </w:p>
    <w:p>
      <w:pPr>
        <w:pStyle w:val="48"/>
        <w:tabs>
          <w:tab w:val="left" w:pos="6480"/>
        </w:tabs>
        <w:spacing w:before="0" w:after="0"/>
        <w:rPr>
          <w:rFonts w:hint="eastAsia" w:ascii="宋体" w:hAnsi="宋体" w:eastAsia="宋体" w:cs="宋体"/>
          <w:sz w:val="24"/>
          <w:szCs w:val="24"/>
        </w:rPr>
      </w:pPr>
      <w:bookmarkStart w:id="899" w:name="_Toc373227755"/>
      <w:bookmarkStart w:id="900" w:name="_Toc16005"/>
      <w:bookmarkStart w:id="901" w:name="_Toc373478402"/>
      <w:bookmarkStart w:id="902" w:name="_Toc389065320"/>
      <w:bookmarkStart w:id="903" w:name="_Toc508111593"/>
      <w:bookmarkStart w:id="904" w:name="_Toc19862"/>
      <w:bookmarkStart w:id="905" w:name="_Toc466476836"/>
      <w:bookmarkStart w:id="906" w:name="_Toc296891263"/>
      <w:bookmarkStart w:id="907" w:name="_Toc312678056"/>
      <w:bookmarkStart w:id="908" w:name="_Toc296347222"/>
      <w:bookmarkStart w:id="909" w:name="_Toc297123565"/>
      <w:bookmarkStart w:id="910" w:name="_Toc297120523"/>
      <w:bookmarkStart w:id="911" w:name="_Toc296346724"/>
      <w:bookmarkStart w:id="912" w:name="_Toc300935016"/>
      <w:bookmarkStart w:id="913" w:name="_Toc297216224"/>
      <w:bookmarkStart w:id="914" w:name="_Toc296944562"/>
      <w:bookmarkStart w:id="915" w:name="_Toc296891051"/>
      <w:bookmarkStart w:id="916" w:name="_Toc297048409"/>
      <w:bookmarkStart w:id="917" w:name="_Toc296503223"/>
      <w:bookmarkStart w:id="918" w:name="_Toc304295596"/>
      <w:bookmarkStart w:id="919" w:name="_Toc292559428"/>
      <w:bookmarkStart w:id="920" w:name="_Toc292559933"/>
      <w:bookmarkStart w:id="921" w:name="_Toc303539173"/>
      <w:bookmarkStart w:id="922" w:name="_Toc267251470"/>
      <w:bookmarkStart w:id="923" w:name="_Toc267251473"/>
      <w:bookmarkStart w:id="924" w:name="_Toc267251471"/>
      <w:bookmarkStart w:id="925" w:name="_Toc267251476"/>
      <w:bookmarkStart w:id="926" w:name="_Toc267251472"/>
      <w:bookmarkStart w:id="927" w:name="_Toc267251474"/>
      <w:bookmarkStart w:id="928" w:name="_Toc267251475"/>
      <w:r>
        <w:rPr>
          <w:rFonts w:hint="eastAsia" w:ascii="宋体" w:hAnsi="宋体" w:eastAsia="宋体" w:cs="宋体"/>
          <w:sz w:val="24"/>
          <w:szCs w:val="24"/>
        </w:rPr>
        <w:t>13.2 竣工验收</w:t>
      </w:r>
      <w:bookmarkEnd w:id="899"/>
      <w:bookmarkEnd w:id="900"/>
      <w:bookmarkEnd w:id="901"/>
      <w:bookmarkEnd w:id="902"/>
      <w:bookmarkEnd w:id="903"/>
      <w:bookmarkEnd w:id="904"/>
      <w:bookmarkEnd w:id="905"/>
    </w:p>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Pr>
        <w:pStyle w:val="47"/>
        <w:spacing w:line="360" w:lineRule="auto"/>
        <w:ind w:firstLine="480" w:firstLineChars="200"/>
        <w:jc w:val="left"/>
        <w:rPr>
          <w:rFonts w:hint="eastAsia" w:ascii="宋体" w:hAnsi="宋体" w:eastAsia="宋体" w:cs="宋体"/>
          <w:sz w:val="24"/>
          <w:szCs w:val="24"/>
        </w:rPr>
      </w:pPr>
      <w:bookmarkStart w:id="929" w:name="_Toc280868708"/>
      <w:bookmarkStart w:id="930" w:name="_Toc280868709"/>
      <w:r>
        <w:rPr>
          <w:rFonts w:hint="eastAsia" w:ascii="宋体" w:hAnsi="宋体" w:eastAsia="宋体" w:cs="宋体"/>
          <w:sz w:val="24"/>
          <w:szCs w:val="24"/>
        </w:rPr>
        <w:t>13.2.1竣工验收条件</w:t>
      </w:r>
    </w:p>
    <w:p>
      <w:pPr>
        <w:pStyle w:val="47"/>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（3）承包人负责整理和提交的竣工验收资料应当符合建设工程竣工验收规范的规定(或)城市建设档案管理机构有关施工资料的要求，具体内容包括：</w:t>
      </w:r>
      <w:r>
        <w:rPr>
          <w:rFonts w:hint="eastAsia" w:ascii="宋体" w:hAnsi="宋体" w:eastAsia="宋体" w:cs="宋体"/>
          <w:sz w:val="24"/>
          <w:szCs w:val="24"/>
          <w:u w:val="single"/>
        </w:rPr>
        <w:t>（1）工程具备竣工验收条件，承包人按工程竣工验收有关规定，向发包人提交完整竣工资料（含竣工图）及竣工验收报告。提交的时间为竣工预验后5天内。</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（2）符合国家、广西建设行政主管部门有关工程竣工验收资料备案及城建档案馆有关资料存档的要求，并随时接受发包人及上述有关部门提出的补充整改的要求</w:t>
      </w:r>
      <w:r>
        <w:rPr>
          <w:rFonts w:hint="eastAsia" w:ascii="宋体" w:hAnsi="宋体" w:eastAsia="宋体" w:cs="宋体"/>
          <w:sz w:val="24"/>
          <w:szCs w:val="24"/>
        </w:rPr>
        <w:t>。</w:t>
      </w:r>
    </w:p>
    <w:p>
      <w:pPr>
        <w:pStyle w:val="4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竣工验收资料的份数：</w:t>
      </w:r>
      <w:r>
        <w:rPr>
          <w:rFonts w:hint="eastAsia" w:ascii="宋体" w:hAnsi="宋体" w:eastAsia="宋体" w:cs="宋体"/>
          <w:sz w:val="24"/>
          <w:szCs w:val="24"/>
          <w:u w:val="single"/>
        </w:rPr>
        <w:t>八份</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承包人提供竣工图的约定：</w:t>
      </w:r>
      <w:r>
        <w:rPr>
          <w:rFonts w:hint="eastAsia" w:ascii="宋体" w:hAnsi="宋体" w:eastAsia="宋体" w:cs="宋体"/>
          <w:sz w:val="24"/>
          <w:szCs w:val="24"/>
          <w:u w:val="single"/>
        </w:rPr>
        <w:t>竣工验收正式通过后5天（工程造价在500万元以下含500万元）、10天（工程造价在500万元至1000万元之间含1000万元）、15天（工程造价在1000万元以上），提供竣工图的数量分别为2套、4套、6套。</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13.2.2竣工验收程序</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kern w:val="0"/>
          <w:sz w:val="24"/>
          <w:szCs w:val="24"/>
        </w:rPr>
        <w:t>关于竣工验收程序的约定：</w:t>
      </w:r>
      <w:r>
        <w:rPr>
          <w:rFonts w:hint="eastAsia" w:ascii="宋体" w:hAnsi="宋体" w:eastAsia="宋体" w:cs="宋体"/>
          <w:sz w:val="24"/>
          <w:szCs w:val="24"/>
          <w:u w:val="single"/>
        </w:rPr>
        <w:t>按通用条款13.2.2款规定执行</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发包人不按照本项约定组织竣工验收、颁发工程接收证书的违约金的计算方法：</w:t>
      </w:r>
      <w:r>
        <w:rPr>
          <w:rFonts w:hint="eastAsia" w:ascii="宋体" w:hAnsi="宋体" w:eastAsia="宋体" w:cs="宋体"/>
          <w:sz w:val="24"/>
          <w:szCs w:val="24"/>
          <w:u w:val="single"/>
        </w:rPr>
        <w:t>每天赔偿金额为不按照本项约定组织竣工验收、颁发工程接收证书工程的合同价款扣除建安劳保费、发包人材料价款、暂估专业工程、暂列金额后的的万分之四</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13.2.5移交、接收全部与部分工程</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承包人向发包人移交工程的期限：</w:t>
      </w:r>
      <w:r>
        <w:rPr>
          <w:rFonts w:hint="eastAsia" w:ascii="宋体" w:hAnsi="宋体" w:eastAsia="宋体" w:cs="宋体"/>
          <w:sz w:val="24"/>
          <w:szCs w:val="24"/>
          <w:u w:val="single"/>
        </w:rPr>
        <w:t>竣工验收合格后28天内</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kern w:val="0"/>
          <w:sz w:val="24"/>
          <w:szCs w:val="24"/>
        </w:rPr>
        <w:t>发包人未按本合同约定接收全部或部分工程的，违约金的计算方法为：</w:t>
      </w:r>
      <w:bookmarkStart w:id="931" w:name="_Toc6267"/>
      <w:bookmarkStart w:id="932" w:name="_Toc389065321"/>
      <w:bookmarkStart w:id="933" w:name="_Toc466476837"/>
      <w:bookmarkStart w:id="934" w:name="_Toc373478403"/>
      <w:bookmarkStart w:id="935" w:name="_Toc373227756"/>
      <w:r>
        <w:rPr>
          <w:rFonts w:hint="eastAsia" w:ascii="宋体" w:hAnsi="宋体" w:eastAsia="宋体" w:cs="宋体"/>
          <w:sz w:val="24"/>
          <w:szCs w:val="24"/>
          <w:u w:val="single"/>
        </w:rPr>
        <w:t>每天赔偿金额为未按本合同约定接收工程的合同价款扣除建安劳保费、发包人材料价款、暂估专业工程、暂列金额后的的万分之四</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承包人未按时移交工程的，违约金的计算方法为：</w:t>
      </w:r>
      <w:r>
        <w:rPr>
          <w:rFonts w:hint="eastAsia" w:ascii="宋体" w:hAnsi="宋体" w:eastAsia="宋体" w:cs="宋体"/>
          <w:sz w:val="24"/>
          <w:szCs w:val="24"/>
          <w:u w:val="single"/>
        </w:rPr>
        <w:t>每天赔偿金额为合同价款扣除建安劳保费、发包人材料价款、暂估专业工程、暂列金额后的的万分之四</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13.3 工程试车</w:t>
      </w:r>
      <w:bookmarkEnd w:id="931"/>
      <w:bookmarkEnd w:id="932"/>
      <w:bookmarkEnd w:id="933"/>
      <w:bookmarkEnd w:id="934"/>
      <w:bookmarkEnd w:id="935"/>
    </w:p>
    <w:bookmarkEnd w:id="929"/>
    <w:p>
      <w:pPr>
        <w:pStyle w:val="47"/>
        <w:spacing w:line="360" w:lineRule="auto"/>
        <w:ind w:firstLine="480" w:firstLineChars="200"/>
        <w:jc w:val="left"/>
        <w:rPr>
          <w:rFonts w:hint="eastAsia" w:ascii="宋体" w:hAnsi="宋体" w:eastAsia="宋体" w:cs="宋体"/>
          <w:kern w:val="0"/>
          <w:sz w:val="24"/>
          <w:szCs w:val="24"/>
        </w:rPr>
      </w:pPr>
      <w:bookmarkStart w:id="936" w:name="_Toc389065322"/>
      <w:bookmarkStart w:id="937" w:name="_Toc373478404"/>
      <w:bookmarkStart w:id="938" w:name="_Toc373227757"/>
      <w:bookmarkStart w:id="939" w:name="_Toc466476838"/>
      <w:r>
        <w:rPr>
          <w:rFonts w:hint="eastAsia" w:ascii="宋体" w:hAnsi="宋体" w:eastAsia="宋体" w:cs="宋体"/>
          <w:kern w:val="0"/>
          <w:sz w:val="24"/>
          <w:szCs w:val="24"/>
        </w:rPr>
        <w:t>13.3.1 试车程序</w:t>
      </w:r>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kern w:val="0"/>
          <w:sz w:val="24"/>
          <w:szCs w:val="24"/>
        </w:rPr>
        <w:t>工程试车内容：</w:t>
      </w:r>
      <w:r>
        <w:rPr>
          <w:rFonts w:hint="eastAsia" w:ascii="宋体" w:hAnsi="宋体" w:eastAsia="宋体" w:cs="宋体"/>
          <w:sz w:val="24"/>
          <w:szCs w:val="24"/>
          <w:u w:val="single"/>
        </w:rPr>
        <w:t>按通用条款13.3执行</w:t>
      </w:r>
      <w:r>
        <w:rPr>
          <w:rFonts w:hint="eastAsia" w:ascii="宋体" w:hAnsi="宋体" w:eastAsia="宋体" w:cs="宋体"/>
          <w:sz w:val="24"/>
          <w:szCs w:val="24"/>
        </w:rPr>
        <w:t>。</w:t>
      </w:r>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（1）单机无负荷试车费用由</w:t>
      </w:r>
      <w:r>
        <w:rPr>
          <w:rFonts w:hint="eastAsia" w:ascii="宋体" w:hAnsi="宋体" w:eastAsia="宋体" w:cs="宋体"/>
          <w:sz w:val="24"/>
          <w:szCs w:val="24"/>
          <w:u w:val="single"/>
        </w:rPr>
        <w:t>承包人</w:t>
      </w:r>
      <w:r>
        <w:rPr>
          <w:rFonts w:hint="eastAsia" w:ascii="宋体" w:hAnsi="宋体" w:eastAsia="宋体" w:cs="宋体"/>
          <w:kern w:val="0"/>
          <w:sz w:val="24"/>
          <w:szCs w:val="24"/>
        </w:rPr>
        <w:t>承担；</w:t>
      </w:r>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（2）无负荷联动试车费用由</w:t>
      </w:r>
      <w:r>
        <w:rPr>
          <w:rFonts w:hint="eastAsia" w:ascii="宋体" w:hAnsi="宋体" w:eastAsia="宋体" w:cs="宋体"/>
          <w:sz w:val="24"/>
          <w:szCs w:val="24"/>
          <w:u w:val="single"/>
        </w:rPr>
        <w:t>承包人</w:t>
      </w:r>
      <w:r>
        <w:rPr>
          <w:rFonts w:hint="eastAsia" w:ascii="宋体" w:hAnsi="宋体" w:eastAsia="宋体" w:cs="宋体"/>
          <w:kern w:val="0"/>
          <w:sz w:val="24"/>
          <w:szCs w:val="24"/>
        </w:rPr>
        <w:t>承担。</w:t>
      </w:r>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13.3.3 投料试车</w:t>
      </w:r>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kern w:val="0"/>
          <w:sz w:val="24"/>
          <w:szCs w:val="24"/>
        </w:rPr>
        <w:t>关于投料试车相关事项的约定：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8"/>
        <w:pageBreakBefore w:val="0"/>
        <w:widowControl w:val="0"/>
        <w:tabs>
          <w:tab w:val="left" w:pos="6480"/>
        </w:tabs>
        <w:kinsoku/>
        <w:wordWrap/>
        <w:overflowPunct/>
        <w:topLinePunct w:val="0"/>
        <w:autoSpaceDE/>
        <w:autoSpaceDN/>
        <w:bidi w:val="0"/>
        <w:adjustRightInd/>
        <w:snapToGrid/>
        <w:spacing w:before="0" w:after="0" w:line="420" w:lineRule="exact"/>
        <w:textAlignment w:val="auto"/>
        <w:rPr>
          <w:rFonts w:hint="eastAsia" w:ascii="宋体" w:hAnsi="宋体" w:eastAsia="宋体" w:cs="宋体"/>
          <w:sz w:val="24"/>
          <w:szCs w:val="24"/>
        </w:rPr>
      </w:pPr>
      <w:bookmarkStart w:id="940" w:name="_Toc4036"/>
      <w:bookmarkStart w:id="941" w:name="_Toc22332"/>
      <w:bookmarkStart w:id="942" w:name="_Toc508111594"/>
      <w:r>
        <w:rPr>
          <w:rFonts w:hint="eastAsia" w:ascii="宋体" w:hAnsi="宋体" w:eastAsia="宋体" w:cs="宋体"/>
          <w:sz w:val="24"/>
          <w:szCs w:val="24"/>
        </w:rPr>
        <w:t>13.6 竣工退场</w:t>
      </w:r>
      <w:bookmarkEnd w:id="936"/>
      <w:bookmarkEnd w:id="937"/>
      <w:bookmarkEnd w:id="938"/>
      <w:bookmarkEnd w:id="939"/>
      <w:bookmarkEnd w:id="940"/>
      <w:bookmarkEnd w:id="941"/>
      <w:bookmarkEnd w:id="942"/>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13.6.1 竣工退场</w:t>
      </w:r>
    </w:p>
    <w:p>
      <w:pPr>
        <w:pStyle w:val="47"/>
        <w:pageBreakBefore w:val="0"/>
        <w:widowControl w:val="0"/>
        <w:tabs>
          <w:tab w:val="left" w:pos="6480"/>
        </w:tabs>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承包人完成竣工退场的期限：</w:t>
      </w:r>
      <w:r>
        <w:rPr>
          <w:rFonts w:hint="eastAsia" w:ascii="宋体" w:hAnsi="宋体" w:eastAsia="宋体" w:cs="宋体"/>
          <w:sz w:val="24"/>
          <w:szCs w:val="24"/>
          <w:u w:val="single"/>
        </w:rPr>
        <w:t>竣工验收合格后28天内</w:t>
      </w:r>
      <w:r>
        <w:rPr>
          <w:rFonts w:hint="eastAsia" w:ascii="宋体" w:hAnsi="宋体" w:eastAsia="宋体" w:cs="宋体"/>
          <w:kern w:val="0"/>
          <w:sz w:val="24"/>
          <w:szCs w:val="24"/>
        </w:rPr>
        <w:t>。</w:t>
      </w:r>
    </w:p>
    <w:p>
      <w:pPr>
        <w:pStyle w:val="46"/>
        <w:pageBreakBefore w:val="0"/>
        <w:widowControl w:val="0"/>
        <w:tabs>
          <w:tab w:val="left" w:pos="6480"/>
        </w:tabs>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bookmarkStart w:id="943" w:name="_Toc389065323"/>
      <w:bookmarkStart w:id="944" w:name="_Toc466476839"/>
      <w:bookmarkStart w:id="945" w:name="_Toc10302"/>
      <w:bookmarkStart w:id="946" w:name="_Toc373227758"/>
      <w:bookmarkStart w:id="947" w:name="_Toc10298"/>
      <w:bookmarkStart w:id="948" w:name="_Toc373478405"/>
      <w:bookmarkStart w:id="949" w:name="_Toc351203646"/>
      <w:bookmarkStart w:id="950" w:name="_Toc508111595"/>
      <w:r>
        <w:rPr>
          <w:rFonts w:hint="eastAsia" w:ascii="宋体" w:hAnsi="宋体" w:eastAsia="宋体" w:cs="宋体"/>
          <w:sz w:val="24"/>
          <w:szCs w:val="24"/>
        </w:rPr>
        <w:t>14. 竣工结算</w:t>
      </w:r>
      <w:bookmarkEnd w:id="943"/>
      <w:bookmarkEnd w:id="944"/>
      <w:bookmarkEnd w:id="945"/>
      <w:bookmarkEnd w:id="946"/>
      <w:bookmarkEnd w:id="947"/>
      <w:bookmarkEnd w:id="948"/>
      <w:bookmarkEnd w:id="949"/>
      <w:bookmarkEnd w:id="950"/>
    </w:p>
    <w:p>
      <w:pPr>
        <w:pStyle w:val="48"/>
        <w:pageBreakBefore w:val="0"/>
        <w:widowControl w:val="0"/>
        <w:tabs>
          <w:tab w:val="left" w:pos="6480"/>
        </w:tabs>
        <w:kinsoku/>
        <w:wordWrap/>
        <w:overflowPunct/>
        <w:topLinePunct w:val="0"/>
        <w:autoSpaceDE/>
        <w:autoSpaceDN/>
        <w:bidi w:val="0"/>
        <w:adjustRightInd/>
        <w:snapToGrid/>
        <w:spacing w:before="0" w:after="0" w:line="420" w:lineRule="exact"/>
        <w:textAlignment w:val="auto"/>
        <w:rPr>
          <w:rFonts w:hint="eastAsia" w:ascii="宋体" w:hAnsi="宋体" w:eastAsia="宋体" w:cs="宋体"/>
          <w:sz w:val="24"/>
          <w:szCs w:val="24"/>
        </w:rPr>
      </w:pPr>
      <w:bookmarkStart w:id="951" w:name="_Toc508111596"/>
      <w:bookmarkStart w:id="952" w:name="_Toc25545"/>
      <w:bookmarkStart w:id="953" w:name="_Toc389065324"/>
      <w:bookmarkStart w:id="954" w:name="_Toc373227759"/>
      <w:bookmarkStart w:id="955" w:name="_Toc373478406"/>
      <w:bookmarkStart w:id="956" w:name="_Toc466476840"/>
      <w:bookmarkStart w:id="957" w:name="_Toc29651"/>
      <w:r>
        <w:rPr>
          <w:rFonts w:hint="eastAsia" w:ascii="宋体" w:hAnsi="宋体" w:eastAsia="宋体" w:cs="宋体"/>
          <w:sz w:val="24"/>
          <w:szCs w:val="24"/>
        </w:rPr>
        <w:t>14.1 竣工付款申请</w:t>
      </w:r>
      <w:bookmarkEnd w:id="951"/>
      <w:bookmarkEnd w:id="952"/>
      <w:bookmarkEnd w:id="953"/>
      <w:bookmarkEnd w:id="954"/>
      <w:bookmarkEnd w:id="955"/>
      <w:bookmarkEnd w:id="956"/>
      <w:bookmarkEnd w:id="957"/>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承包人提交竣工付款申请单的期限：</w:t>
      </w:r>
      <w:r>
        <w:rPr>
          <w:rFonts w:hint="eastAsia" w:ascii="宋体" w:hAnsi="宋体" w:eastAsia="宋体" w:cs="宋体"/>
          <w:sz w:val="24"/>
          <w:szCs w:val="24"/>
          <w:u w:val="single"/>
        </w:rPr>
        <w:t>竣工验收合格后28天内</w:t>
      </w:r>
      <w:r>
        <w:rPr>
          <w:rFonts w:hint="eastAsia" w:ascii="宋体" w:hAnsi="宋体" w:eastAsia="宋体" w:cs="宋体"/>
          <w:sz w:val="24"/>
          <w:szCs w:val="24"/>
        </w:rPr>
        <w:t>。</w:t>
      </w:r>
    </w:p>
    <w:p>
      <w:pPr>
        <w:pStyle w:val="47"/>
        <w:pageBreakBefore w:val="0"/>
        <w:widowControl w:val="0"/>
        <w:tabs>
          <w:tab w:val="left" w:pos="6480"/>
        </w:tabs>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竣工付款申请单应包括的内容：</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8"/>
        <w:pageBreakBefore w:val="0"/>
        <w:widowControl w:val="0"/>
        <w:tabs>
          <w:tab w:val="left" w:pos="6480"/>
        </w:tabs>
        <w:kinsoku/>
        <w:wordWrap/>
        <w:overflowPunct/>
        <w:topLinePunct w:val="0"/>
        <w:autoSpaceDE/>
        <w:autoSpaceDN/>
        <w:bidi w:val="0"/>
        <w:adjustRightInd/>
        <w:snapToGrid/>
        <w:spacing w:before="0" w:after="0" w:line="420" w:lineRule="exact"/>
        <w:textAlignment w:val="auto"/>
        <w:rPr>
          <w:rFonts w:hint="eastAsia" w:ascii="宋体" w:hAnsi="宋体" w:eastAsia="宋体" w:cs="宋体"/>
          <w:sz w:val="24"/>
          <w:szCs w:val="24"/>
        </w:rPr>
      </w:pPr>
      <w:bookmarkStart w:id="958" w:name="_Toc31866"/>
      <w:bookmarkStart w:id="959" w:name="_Toc466821228"/>
      <w:bookmarkStart w:id="960" w:name="_Toc508111597"/>
      <w:r>
        <w:rPr>
          <w:rFonts w:hint="eastAsia" w:ascii="宋体" w:hAnsi="宋体" w:eastAsia="宋体" w:cs="宋体"/>
          <w:sz w:val="24"/>
          <w:szCs w:val="24"/>
        </w:rPr>
        <w:t>14.2 竣工结算审核</w:t>
      </w:r>
      <w:bookmarkEnd w:id="958"/>
      <w:bookmarkEnd w:id="959"/>
      <w:bookmarkEnd w:id="960"/>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bookmarkStart w:id="961" w:name="_Toc389065326"/>
      <w:bookmarkStart w:id="962" w:name="_Toc373227761"/>
      <w:bookmarkStart w:id="963" w:name="_Toc373478408"/>
      <w:bookmarkStart w:id="964" w:name="_Toc466476841"/>
      <w:r>
        <w:rPr>
          <w:rFonts w:hint="eastAsia" w:ascii="宋体" w:hAnsi="宋体" w:eastAsia="宋体" w:cs="宋体"/>
          <w:sz w:val="24"/>
          <w:szCs w:val="24"/>
        </w:rPr>
        <w:t>发包人审批竣工付款申请单的期限：</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47"/>
              <w:spacing w:line="360" w:lineRule="auto"/>
              <w:rPr>
                <w:rFonts w:hint="eastAsia" w:ascii="宋体" w:hAnsi="宋体" w:eastAsia="宋体" w:cs="宋体"/>
                <w:sz w:val="24"/>
                <w:szCs w:val="24"/>
              </w:rPr>
            </w:pPr>
          </w:p>
        </w:tc>
        <w:tc>
          <w:tcPr>
            <w:tcW w:w="2466" w:type="dxa"/>
            <w:vAlign w:val="center"/>
          </w:tcPr>
          <w:p>
            <w:pPr>
              <w:pStyle w:val="47"/>
              <w:spacing w:line="360" w:lineRule="auto"/>
              <w:ind w:firstLine="31" w:firstLineChars="13"/>
              <w:jc w:val="center"/>
              <w:rPr>
                <w:rFonts w:hint="eastAsia" w:ascii="宋体" w:hAnsi="宋体" w:eastAsia="宋体" w:cs="宋体"/>
                <w:sz w:val="24"/>
                <w:szCs w:val="24"/>
              </w:rPr>
            </w:pPr>
            <w:r>
              <w:rPr>
                <w:rFonts w:hint="eastAsia" w:ascii="宋体" w:hAnsi="宋体" w:eastAsia="宋体" w:cs="宋体"/>
                <w:sz w:val="24"/>
                <w:szCs w:val="24"/>
              </w:rPr>
              <w:t>工程竣工结算报告金额</w:t>
            </w:r>
          </w:p>
        </w:tc>
        <w:tc>
          <w:tcPr>
            <w:tcW w:w="5967" w:type="dxa"/>
            <w:vAlign w:val="center"/>
          </w:tcPr>
          <w:p>
            <w:pPr>
              <w:pStyle w:val="47"/>
              <w:spacing w:line="360" w:lineRule="auto"/>
              <w:ind w:firstLine="504" w:firstLineChars="210"/>
              <w:jc w:val="center"/>
              <w:rPr>
                <w:rFonts w:hint="eastAsia" w:ascii="宋体" w:hAnsi="宋体" w:eastAsia="宋体" w:cs="宋体"/>
                <w:sz w:val="24"/>
                <w:szCs w:val="24"/>
              </w:rPr>
            </w:pPr>
            <w:r>
              <w:rPr>
                <w:rFonts w:hint="eastAsia" w:ascii="宋体" w:hAnsi="宋体" w:eastAsia="宋体" w:cs="宋体"/>
                <w:sz w:val="24"/>
                <w:szCs w:val="24"/>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47"/>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466" w:type="dxa"/>
            <w:vAlign w:val="center"/>
          </w:tcPr>
          <w:p>
            <w:pPr>
              <w:pStyle w:val="47"/>
              <w:spacing w:line="360" w:lineRule="auto"/>
              <w:ind w:firstLine="31" w:firstLineChars="13"/>
              <w:jc w:val="center"/>
              <w:rPr>
                <w:rFonts w:hint="eastAsia" w:ascii="宋体" w:hAnsi="宋体" w:eastAsia="宋体" w:cs="宋体"/>
                <w:sz w:val="24"/>
                <w:szCs w:val="24"/>
              </w:rPr>
            </w:pPr>
            <w:r>
              <w:rPr>
                <w:rFonts w:hint="eastAsia" w:ascii="宋体" w:hAnsi="宋体" w:eastAsia="宋体" w:cs="宋体"/>
                <w:sz w:val="24"/>
                <w:szCs w:val="24"/>
              </w:rPr>
              <w:t>500万元以下</w:t>
            </w:r>
          </w:p>
        </w:tc>
        <w:tc>
          <w:tcPr>
            <w:tcW w:w="5967" w:type="dxa"/>
            <w:vAlign w:val="center"/>
          </w:tcPr>
          <w:p>
            <w:pPr>
              <w:pStyle w:val="47"/>
              <w:spacing w:line="360" w:lineRule="auto"/>
              <w:ind w:firstLine="504" w:firstLineChars="210"/>
              <w:jc w:val="center"/>
              <w:rPr>
                <w:rFonts w:hint="eastAsia" w:ascii="宋体" w:hAnsi="宋体" w:eastAsia="宋体" w:cs="宋体"/>
                <w:sz w:val="24"/>
                <w:szCs w:val="24"/>
              </w:rPr>
            </w:pPr>
            <w:r>
              <w:rPr>
                <w:rFonts w:hint="eastAsia" w:ascii="宋体" w:hAnsi="宋体" w:eastAsia="宋体" w:cs="宋体"/>
                <w:sz w:val="24"/>
                <w:szCs w:val="24"/>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47"/>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466" w:type="dxa"/>
            <w:vAlign w:val="center"/>
          </w:tcPr>
          <w:p>
            <w:pPr>
              <w:pStyle w:val="47"/>
              <w:spacing w:line="360" w:lineRule="auto"/>
              <w:ind w:firstLine="31" w:firstLineChars="13"/>
              <w:jc w:val="center"/>
              <w:rPr>
                <w:rFonts w:hint="eastAsia" w:ascii="宋体" w:hAnsi="宋体" w:eastAsia="宋体" w:cs="宋体"/>
                <w:sz w:val="24"/>
                <w:szCs w:val="24"/>
              </w:rPr>
            </w:pPr>
            <w:r>
              <w:rPr>
                <w:rFonts w:hint="eastAsia" w:ascii="宋体" w:hAnsi="宋体" w:eastAsia="宋体" w:cs="宋体"/>
                <w:sz w:val="24"/>
                <w:szCs w:val="24"/>
              </w:rPr>
              <w:t>500万元-2000万元</w:t>
            </w:r>
          </w:p>
        </w:tc>
        <w:tc>
          <w:tcPr>
            <w:tcW w:w="5967" w:type="dxa"/>
            <w:vAlign w:val="center"/>
          </w:tcPr>
          <w:p>
            <w:pPr>
              <w:pStyle w:val="47"/>
              <w:spacing w:line="360" w:lineRule="auto"/>
              <w:ind w:firstLine="504" w:firstLineChars="210"/>
              <w:jc w:val="center"/>
              <w:rPr>
                <w:rFonts w:hint="eastAsia" w:ascii="宋体" w:hAnsi="宋体" w:eastAsia="宋体" w:cs="宋体"/>
                <w:sz w:val="24"/>
                <w:szCs w:val="24"/>
              </w:rPr>
            </w:pPr>
            <w:r>
              <w:rPr>
                <w:rFonts w:hint="eastAsia" w:ascii="宋体" w:hAnsi="宋体" w:eastAsia="宋体" w:cs="宋体"/>
                <w:sz w:val="24"/>
                <w:szCs w:val="24"/>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47"/>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466" w:type="dxa"/>
            <w:vAlign w:val="center"/>
          </w:tcPr>
          <w:p>
            <w:pPr>
              <w:pStyle w:val="47"/>
              <w:spacing w:line="360" w:lineRule="auto"/>
              <w:ind w:firstLine="31" w:firstLineChars="13"/>
              <w:jc w:val="center"/>
              <w:rPr>
                <w:rFonts w:hint="eastAsia" w:ascii="宋体" w:hAnsi="宋体" w:eastAsia="宋体" w:cs="宋体"/>
                <w:sz w:val="24"/>
                <w:szCs w:val="24"/>
              </w:rPr>
            </w:pPr>
            <w:r>
              <w:rPr>
                <w:rFonts w:hint="eastAsia" w:ascii="宋体" w:hAnsi="宋体" w:eastAsia="宋体" w:cs="宋体"/>
                <w:sz w:val="24"/>
                <w:szCs w:val="24"/>
              </w:rPr>
              <w:t>2000万元-5000万元</w:t>
            </w:r>
          </w:p>
        </w:tc>
        <w:tc>
          <w:tcPr>
            <w:tcW w:w="5967" w:type="dxa"/>
            <w:vAlign w:val="center"/>
          </w:tcPr>
          <w:p>
            <w:pPr>
              <w:pStyle w:val="47"/>
              <w:spacing w:line="360" w:lineRule="auto"/>
              <w:ind w:firstLine="504" w:firstLineChars="210"/>
              <w:jc w:val="center"/>
              <w:rPr>
                <w:rFonts w:hint="eastAsia" w:ascii="宋体" w:hAnsi="宋体" w:eastAsia="宋体" w:cs="宋体"/>
                <w:sz w:val="24"/>
                <w:szCs w:val="24"/>
              </w:rPr>
            </w:pPr>
            <w:r>
              <w:rPr>
                <w:rFonts w:hint="eastAsia" w:ascii="宋体" w:hAnsi="宋体" w:eastAsia="宋体" w:cs="宋体"/>
                <w:sz w:val="24"/>
                <w:szCs w:val="24"/>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47"/>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466" w:type="dxa"/>
            <w:vAlign w:val="center"/>
          </w:tcPr>
          <w:p>
            <w:pPr>
              <w:pStyle w:val="47"/>
              <w:spacing w:line="360" w:lineRule="auto"/>
              <w:ind w:firstLine="31" w:firstLineChars="13"/>
              <w:jc w:val="center"/>
              <w:rPr>
                <w:rFonts w:hint="eastAsia" w:ascii="宋体" w:hAnsi="宋体" w:eastAsia="宋体" w:cs="宋体"/>
                <w:sz w:val="24"/>
                <w:szCs w:val="24"/>
              </w:rPr>
            </w:pPr>
            <w:r>
              <w:rPr>
                <w:rFonts w:hint="eastAsia" w:ascii="宋体" w:hAnsi="宋体" w:eastAsia="宋体" w:cs="宋体"/>
                <w:sz w:val="24"/>
                <w:szCs w:val="24"/>
              </w:rPr>
              <w:t>5000万元以上</w:t>
            </w:r>
          </w:p>
        </w:tc>
        <w:tc>
          <w:tcPr>
            <w:tcW w:w="5967" w:type="dxa"/>
            <w:vAlign w:val="center"/>
          </w:tcPr>
          <w:p>
            <w:pPr>
              <w:pStyle w:val="47"/>
              <w:spacing w:line="360" w:lineRule="auto"/>
              <w:ind w:firstLine="504" w:firstLineChars="210"/>
              <w:jc w:val="center"/>
              <w:rPr>
                <w:rFonts w:hint="eastAsia" w:ascii="宋体" w:hAnsi="宋体" w:eastAsia="宋体" w:cs="宋体"/>
                <w:sz w:val="24"/>
                <w:szCs w:val="24"/>
              </w:rPr>
            </w:pPr>
            <w:r>
              <w:rPr>
                <w:rFonts w:hint="eastAsia" w:ascii="宋体" w:hAnsi="宋体" w:eastAsia="宋体" w:cs="宋体"/>
                <w:sz w:val="24"/>
                <w:szCs w:val="24"/>
              </w:rPr>
              <w:t>从接到竣工结算报告和完整的竣工结算资料之日起60天</w:t>
            </w:r>
          </w:p>
        </w:tc>
      </w:tr>
    </w:tbl>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因承包人提供的结算资料不完整而需要补充或承包人不按时对账耽误时间时，审查时间应相应顺延。</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结算审核约定：1.工程竣工验收报告经发包人认可后 14 天内，承包人向发包人递交竣工验收合格资料及完整的结算资料和报告，双方按照协议书约定的合同价款及专用条款的约定的合同价调整内容，进行工程竣工结算。2.发包人收到承包人递交的竣工结算报告及结算资料14天内进行审核，给予确认或者提出初审意见。3.发包人对承包人递交的竣工结算报告及结算资料进行确认后，以发包人和承包人确认的金额作为最终结算的依据。</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发包人完成竣工付款的期限：</w:t>
      </w:r>
      <w:r>
        <w:rPr>
          <w:rFonts w:hint="eastAsia" w:ascii="宋体" w:hAnsi="宋体" w:eastAsia="宋体" w:cs="宋体"/>
          <w:sz w:val="24"/>
          <w:szCs w:val="24"/>
          <w:u w:val="single"/>
        </w:rPr>
        <w:t>发包人和承包人确认总额后28天</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关于竣工付款证书异议部分复核的方式和程序：</w:t>
      </w:r>
      <w:r>
        <w:rPr>
          <w:rFonts w:hint="eastAsia" w:ascii="宋体" w:hAnsi="宋体" w:eastAsia="宋体" w:cs="宋体"/>
          <w:sz w:val="24"/>
          <w:szCs w:val="24"/>
          <w:u w:val="single"/>
        </w:rPr>
        <w:t>建设单位组织相关人员复核</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965" w:name="_Toc25075"/>
      <w:bookmarkStart w:id="966" w:name="_Toc444"/>
      <w:bookmarkStart w:id="967" w:name="_Toc508111598"/>
      <w:r>
        <w:rPr>
          <w:rFonts w:hint="eastAsia" w:ascii="宋体" w:hAnsi="宋体" w:eastAsia="宋体" w:cs="宋体"/>
          <w:sz w:val="24"/>
          <w:szCs w:val="24"/>
        </w:rPr>
        <w:t>14.4 最终结清</w:t>
      </w:r>
      <w:bookmarkEnd w:id="961"/>
      <w:bookmarkEnd w:id="962"/>
      <w:bookmarkEnd w:id="963"/>
      <w:bookmarkEnd w:id="964"/>
      <w:bookmarkEnd w:id="965"/>
      <w:bookmarkEnd w:id="966"/>
      <w:bookmarkEnd w:id="967"/>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14.4.1 最终结清申请单</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承包人提交最终结清申请单的份数：</w:t>
      </w:r>
      <w:r>
        <w:rPr>
          <w:rFonts w:hint="eastAsia" w:ascii="宋体" w:hAnsi="宋体" w:eastAsia="宋体" w:cs="宋体"/>
          <w:sz w:val="24"/>
          <w:szCs w:val="24"/>
          <w:u w:val="single"/>
        </w:rPr>
        <w:t>6份</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承包人提交最终结算申请单的期限：</w:t>
      </w:r>
      <w:r>
        <w:rPr>
          <w:rFonts w:hint="eastAsia" w:ascii="宋体" w:hAnsi="宋体" w:eastAsia="宋体" w:cs="宋体"/>
          <w:sz w:val="24"/>
          <w:szCs w:val="24"/>
          <w:u w:val="single"/>
        </w:rPr>
        <w:t>发包人和承包人确认总额后28天</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14.4.2 最终结清证书和支付</w:t>
      </w:r>
    </w:p>
    <w:p>
      <w:pPr>
        <w:pStyle w:val="47"/>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（1）发包人完成最终结清申请单的审批并颁发最终结清证书的期限：</w:t>
      </w:r>
      <w:r>
        <w:rPr>
          <w:rFonts w:hint="eastAsia" w:ascii="宋体" w:hAnsi="宋体" w:eastAsia="宋体" w:cs="宋体"/>
          <w:sz w:val="24"/>
          <w:szCs w:val="24"/>
          <w:u w:val="single"/>
        </w:rPr>
        <w:t>发包人和承包人确认总额后28天</w:t>
      </w:r>
    </w:p>
    <w:p>
      <w:pPr>
        <w:pStyle w:val="47"/>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（2）发包人完成支付的期限：</w:t>
      </w:r>
      <w:r>
        <w:rPr>
          <w:rFonts w:hint="eastAsia" w:ascii="宋体" w:hAnsi="宋体" w:eastAsia="宋体" w:cs="宋体"/>
          <w:sz w:val="24"/>
          <w:szCs w:val="24"/>
          <w:u w:val="single"/>
        </w:rPr>
        <w:t>工程验收合格后2年</w:t>
      </w:r>
      <w:r>
        <w:rPr>
          <w:rFonts w:hint="eastAsia" w:ascii="宋体" w:hAnsi="宋体" w:eastAsia="宋体" w:cs="宋体"/>
          <w:sz w:val="24"/>
          <w:szCs w:val="24"/>
        </w:rPr>
        <w:t>。</w:t>
      </w:r>
    </w:p>
    <w:bookmarkEnd w:id="922"/>
    <w:bookmarkEnd w:id="923"/>
    <w:bookmarkEnd w:id="924"/>
    <w:bookmarkEnd w:id="925"/>
    <w:bookmarkEnd w:id="926"/>
    <w:bookmarkEnd w:id="927"/>
    <w:bookmarkEnd w:id="928"/>
    <w:bookmarkEnd w:id="930"/>
    <w:p>
      <w:pPr>
        <w:pStyle w:val="46"/>
        <w:tabs>
          <w:tab w:val="left" w:pos="6480"/>
        </w:tabs>
        <w:spacing w:after="0"/>
        <w:rPr>
          <w:rFonts w:hint="eastAsia" w:ascii="宋体" w:hAnsi="宋体" w:eastAsia="宋体" w:cs="宋体"/>
          <w:sz w:val="24"/>
          <w:szCs w:val="24"/>
        </w:rPr>
      </w:pPr>
      <w:bookmarkStart w:id="968" w:name="_Toc466476842"/>
      <w:bookmarkStart w:id="969" w:name="_Toc351203647"/>
      <w:bookmarkStart w:id="970" w:name="_Toc12193"/>
      <w:bookmarkStart w:id="971" w:name="_Toc508111599"/>
      <w:bookmarkStart w:id="972" w:name="_Toc16107"/>
      <w:bookmarkStart w:id="973" w:name="_Toc373227762"/>
      <w:bookmarkStart w:id="974" w:name="_Toc389065327"/>
      <w:bookmarkStart w:id="975" w:name="_Toc373478409"/>
      <w:bookmarkStart w:id="976" w:name="_Toc267251483"/>
      <w:bookmarkStart w:id="977" w:name="_Toc267251484"/>
      <w:bookmarkStart w:id="978" w:name="_Toc267251482"/>
      <w:bookmarkStart w:id="979" w:name="_Toc267251485"/>
      <w:bookmarkStart w:id="980" w:name="_Toc267251490"/>
      <w:bookmarkStart w:id="981" w:name="_Toc267251486"/>
      <w:bookmarkStart w:id="982" w:name="_Toc267251489"/>
      <w:bookmarkStart w:id="983" w:name="_Toc267251488"/>
      <w:bookmarkStart w:id="984" w:name="_Toc267251501"/>
      <w:bookmarkStart w:id="985" w:name="_Toc267251506"/>
      <w:bookmarkStart w:id="986" w:name="_Toc267251510"/>
      <w:bookmarkStart w:id="987" w:name="_Toc267251491"/>
      <w:bookmarkStart w:id="988" w:name="_Toc267251507"/>
      <w:bookmarkStart w:id="989" w:name="_Toc267251493"/>
      <w:bookmarkStart w:id="990" w:name="_Toc267251513"/>
      <w:bookmarkStart w:id="991" w:name="_Toc267251504"/>
      <w:bookmarkStart w:id="992" w:name="_Toc267251494"/>
      <w:bookmarkStart w:id="993" w:name="_Toc267251502"/>
      <w:bookmarkStart w:id="994" w:name="_Toc267251495"/>
      <w:bookmarkStart w:id="995" w:name="_Toc267251503"/>
      <w:bookmarkStart w:id="996" w:name="_Toc267251514"/>
      <w:bookmarkStart w:id="997" w:name="_Toc267251499"/>
      <w:bookmarkStart w:id="998" w:name="_Toc267251511"/>
      <w:bookmarkStart w:id="999" w:name="_Toc267251515"/>
      <w:bookmarkStart w:id="1000" w:name="_Toc267251497"/>
      <w:bookmarkStart w:id="1001" w:name="_Toc267251496"/>
      <w:bookmarkStart w:id="1002" w:name="_Toc267251509"/>
      <w:bookmarkStart w:id="1003" w:name="_Toc267251498"/>
      <w:bookmarkStart w:id="1004" w:name="_Toc267251508"/>
      <w:bookmarkStart w:id="1005" w:name="_Toc267251492"/>
      <w:r>
        <w:rPr>
          <w:rFonts w:hint="eastAsia" w:ascii="宋体" w:hAnsi="宋体" w:eastAsia="宋体" w:cs="宋体"/>
          <w:sz w:val="24"/>
          <w:szCs w:val="24"/>
        </w:rPr>
        <w:t>15. 缺陷责任期与保修</w:t>
      </w:r>
      <w:bookmarkEnd w:id="968"/>
      <w:bookmarkEnd w:id="969"/>
      <w:bookmarkEnd w:id="970"/>
      <w:bookmarkEnd w:id="971"/>
      <w:bookmarkEnd w:id="972"/>
      <w:bookmarkEnd w:id="973"/>
      <w:bookmarkEnd w:id="974"/>
      <w:bookmarkEnd w:id="975"/>
    </w:p>
    <w:p>
      <w:pPr>
        <w:pStyle w:val="48"/>
        <w:tabs>
          <w:tab w:val="left" w:pos="6480"/>
        </w:tabs>
        <w:spacing w:before="0" w:after="0"/>
        <w:rPr>
          <w:rFonts w:hint="eastAsia" w:ascii="宋体" w:hAnsi="宋体" w:eastAsia="宋体" w:cs="宋体"/>
          <w:sz w:val="24"/>
          <w:szCs w:val="24"/>
        </w:rPr>
      </w:pPr>
      <w:bookmarkStart w:id="1006" w:name="_Toc373478410"/>
      <w:bookmarkStart w:id="1007" w:name="_Toc466476843"/>
      <w:bookmarkStart w:id="1008" w:name="_Toc10724"/>
      <w:bookmarkStart w:id="1009" w:name="_Toc9261"/>
      <w:bookmarkStart w:id="1010" w:name="_Toc373227763"/>
      <w:bookmarkStart w:id="1011" w:name="_Toc389065328"/>
      <w:bookmarkStart w:id="1012" w:name="_Toc508111600"/>
      <w:r>
        <w:rPr>
          <w:rFonts w:hint="eastAsia" w:ascii="宋体" w:hAnsi="宋体" w:eastAsia="宋体" w:cs="宋体"/>
          <w:sz w:val="24"/>
          <w:szCs w:val="24"/>
        </w:rPr>
        <w:t>15.2 缺陷责任期</w:t>
      </w:r>
      <w:bookmarkEnd w:id="976"/>
      <w:bookmarkEnd w:id="1006"/>
      <w:bookmarkEnd w:id="1007"/>
      <w:bookmarkEnd w:id="1008"/>
      <w:bookmarkEnd w:id="1009"/>
      <w:bookmarkEnd w:id="1010"/>
      <w:bookmarkEnd w:id="1011"/>
      <w:bookmarkEnd w:id="1012"/>
    </w:p>
    <w:p>
      <w:pPr>
        <w:pStyle w:val="47"/>
        <w:tabs>
          <w:tab w:val="left" w:pos="6480"/>
        </w:tabs>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缺陷责任期的具体期限：</w:t>
      </w:r>
      <w:r>
        <w:rPr>
          <w:rFonts w:hint="eastAsia" w:ascii="宋体" w:hAnsi="宋体" w:eastAsia="宋体" w:cs="宋体"/>
          <w:sz w:val="24"/>
          <w:szCs w:val="24"/>
          <w:u w:val="single"/>
        </w:rPr>
        <w:t>24个月</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1013" w:name="_Toc389065329"/>
      <w:bookmarkStart w:id="1014" w:name="_Toc26964"/>
      <w:bookmarkStart w:id="1015" w:name="_Toc466476844"/>
      <w:bookmarkStart w:id="1016" w:name="_Toc373478411"/>
      <w:bookmarkStart w:id="1017" w:name="_Toc373227764"/>
      <w:bookmarkStart w:id="1018" w:name="_Toc508111601"/>
      <w:bookmarkStart w:id="1019" w:name="_Toc14456"/>
      <w:r>
        <w:rPr>
          <w:rFonts w:hint="eastAsia" w:ascii="宋体" w:hAnsi="宋体" w:eastAsia="宋体" w:cs="宋体"/>
          <w:sz w:val="24"/>
          <w:szCs w:val="24"/>
        </w:rPr>
        <w:t>15.3 质量保证金</w:t>
      </w:r>
      <w:bookmarkEnd w:id="1013"/>
      <w:bookmarkEnd w:id="1014"/>
      <w:bookmarkEnd w:id="1015"/>
      <w:bookmarkEnd w:id="1016"/>
      <w:bookmarkEnd w:id="1017"/>
      <w:bookmarkEnd w:id="1018"/>
      <w:bookmarkEnd w:id="1019"/>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关于是否扣留质量保证金的约定：</w:t>
      </w:r>
      <w:r>
        <w:rPr>
          <w:rFonts w:hint="eastAsia" w:ascii="宋体" w:hAnsi="宋体" w:eastAsia="宋体" w:cs="宋体"/>
          <w:sz w:val="24"/>
          <w:szCs w:val="24"/>
          <w:u w:val="single"/>
        </w:rPr>
        <w:t>是</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15.3.1 承包人提供质量保证金的方式</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质量保证金采用以下第</w:t>
      </w:r>
      <w:r>
        <w:rPr>
          <w:rFonts w:hint="eastAsia" w:ascii="宋体" w:hAnsi="宋体" w:eastAsia="宋体" w:cs="宋体"/>
          <w:kern w:val="0"/>
          <w:sz w:val="24"/>
          <w:szCs w:val="24"/>
          <w:u w:val="single"/>
        </w:rPr>
        <w:t>（2）</w:t>
      </w:r>
      <w:r>
        <w:rPr>
          <w:rFonts w:hint="eastAsia" w:ascii="宋体" w:hAnsi="宋体" w:eastAsia="宋体" w:cs="宋体"/>
          <w:sz w:val="24"/>
          <w:szCs w:val="24"/>
        </w:rPr>
        <w:t>种方式：</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（1）质量保证金保函，保证金额为：</w:t>
      </w:r>
      <w:r>
        <w:rPr>
          <w:rFonts w:hint="eastAsia" w:ascii="宋体" w:hAnsi="宋体" w:eastAsia="宋体" w:cs="宋体"/>
          <w:kern w:val="0"/>
          <w:sz w:val="24"/>
          <w:szCs w:val="24"/>
          <w:u w:val="single"/>
        </w:rPr>
        <w:t xml:space="preserve">   /   </w:t>
      </w:r>
      <w:r>
        <w:rPr>
          <w:rFonts w:hint="eastAsia" w:ascii="宋体" w:hAnsi="宋体" w:eastAsia="宋体" w:cs="宋体"/>
          <w:kern w:val="0"/>
          <w:sz w:val="24"/>
          <w:szCs w:val="24"/>
        </w:rPr>
        <w:t>；</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发包人按工程价款结算总额的</w:t>
      </w:r>
      <w:r>
        <w:rPr>
          <w:rFonts w:hint="eastAsia" w:ascii="宋体" w:hAnsi="宋体" w:eastAsia="宋体" w:cs="宋体"/>
          <w:sz w:val="24"/>
          <w:szCs w:val="24"/>
          <w:u w:val="single"/>
        </w:rPr>
        <w:t>3</w:t>
      </w:r>
      <w:r>
        <w:rPr>
          <w:rFonts w:hint="eastAsia" w:ascii="宋体" w:hAnsi="宋体" w:eastAsia="宋体" w:cs="宋体"/>
          <w:sz w:val="24"/>
          <w:szCs w:val="24"/>
        </w:rPr>
        <w:t>%预留工程质量保证金，待缺陷责任期满后返还（无息）</w:t>
      </w:r>
      <w:r>
        <w:rPr>
          <w:rFonts w:hint="eastAsia" w:ascii="宋体" w:hAnsi="宋体" w:eastAsia="宋体" w:cs="宋体"/>
          <w:kern w:val="0"/>
          <w:sz w:val="24"/>
          <w:szCs w:val="24"/>
        </w:rPr>
        <w:t>；</w:t>
      </w:r>
    </w:p>
    <w:p>
      <w:pPr>
        <w:pStyle w:val="47"/>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（3）其他方式</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47"/>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15.3.2 质量保证金的扣留</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质量保证金的扣留采取以下第</w:t>
      </w:r>
      <w:r>
        <w:rPr>
          <w:rFonts w:hint="eastAsia" w:ascii="宋体" w:hAnsi="宋体" w:eastAsia="宋体" w:cs="宋体"/>
          <w:sz w:val="24"/>
          <w:szCs w:val="24"/>
          <w:u w:val="single"/>
        </w:rPr>
        <w:t>（2）</w:t>
      </w:r>
      <w:r>
        <w:rPr>
          <w:rFonts w:hint="eastAsia" w:ascii="宋体" w:hAnsi="宋体" w:eastAsia="宋体" w:cs="宋体"/>
          <w:sz w:val="24"/>
          <w:szCs w:val="24"/>
        </w:rPr>
        <w:t>种方式：</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（1）在支付工程进度款时逐次扣留，在此情形下，质量保证金的计算基数不包括预付款的支付、扣回以及价格调整的金额；</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（2）工程竣工结算时一次性扣留质量保证金；</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（3）其他扣留方式:</w:t>
      </w:r>
      <w:r>
        <w:rPr>
          <w:rFonts w:hint="eastAsia" w:ascii="宋体" w:hAnsi="宋体" w:eastAsia="宋体" w:cs="宋体"/>
          <w:kern w:val="0"/>
          <w:sz w:val="24"/>
          <w:szCs w:val="24"/>
          <w:u w:val="single"/>
        </w:rPr>
        <w:t xml:space="preserve">            /                          </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u w:val="single"/>
        </w:rPr>
      </w:pPr>
      <w:r>
        <w:rPr>
          <w:rFonts w:hint="eastAsia" w:ascii="宋体" w:hAnsi="宋体" w:eastAsia="宋体" w:cs="宋体"/>
          <w:sz w:val="24"/>
          <w:szCs w:val="24"/>
        </w:rPr>
        <w:t>关于质量保证金的补充约定：</w:t>
      </w:r>
      <w:r>
        <w:rPr>
          <w:rFonts w:hint="eastAsia" w:ascii="宋体" w:hAnsi="宋体" w:eastAsia="宋体" w:cs="宋体"/>
          <w:kern w:val="0"/>
          <w:sz w:val="24"/>
          <w:szCs w:val="24"/>
          <w:u w:val="single"/>
        </w:rPr>
        <w:t xml:space="preserve">           /                  </w:t>
      </w:r>
      <w:r>
        <w:rPr>
          <w:rFonts w:hint="eastAsia" w:ascii="宋体" w:hAnsi="宋体" w:eastAsia="宋体" w:cs="宋体"/>
          <w:kern w:val="0"/>
          <w:sz w:val="24"/>
          <w:szCs w:val="24"/>
        </w:rPr>
        <w:t>。</w:t>
      </w:r>
    </w:p>
    <w:bookmarkEnd w:id="977"/>
    <w:bookmarkEnd w:id="978"/>
    <w:p>
      <w:pPr>
        <w:pStyle w:val="48"/>
        <w:tabs>
          <w:tab w:val="left" w:pos="6480"/>
        </w:tabs>
        <w:spacing w:before="0" w:after="0"/>
        <w:rPr>
          <w:rFonts w:hint="eastAsia" w:ascii="宋体" w:hAnsi="宋体" w:eastAsia="宋体" w:cs="宋体"/>
          <w:sz w:val="24"/>
          <w:szCs w:val="24"/>
        </w:rPr>
      </w:pPr>
      <w:bookmarkStart w:id="1020" w:name="_Toc373227765"/>
      <w:bookmarkStart w:id="1021" w:name="_Toc466476845"/>
      <w:bookmarkStart w:id="1022" w:name="_Toc14611"/>
      <w:bookmarkStart w:id="1023" w:name="_Toc508111602"/>
      <w:bookmarkStart w:id="1024" w:name="_Toc389065330"/>
      <w:bookmarkStart w:id="1025" w:name="_Toc16072"/>
      <w:bookmarkStart w:id="1026" w:name="_Toc373478412"/>
      <w:r>
        <w:rPr>
          <w:rFonts w:hint="eastAsia" w:ascii="宋体" w:hAnsi="宋体" w:eastAsia="宋体" w:cs="宋体"/>
          <w:sz w:val="24"/>
          <w:szCs w:val="24"/>
        </w:rPr>
        <w:t>15.4 保修</w:t>
      </w:r>
      <w:bookmarkEnd w:id="1020"/>
      <w:bookmarkEnd w:id="1021"/>
      <w:bookmarkEnd w:id="1022"/>
      <w:bookmarkEnd w:id="1023"/>
      <w:bookmarkEnd w:id="1024"/>
      <w:bookmarkEnd w:id="1025"/>
      <w:bookmarkEnd w:id="1026"/>
    </w:p>
    <w:bookmarkEnd w:id="979"/>
    <w:p>
      <w:pPr>
        <w:pStyle w:val="47"/>
        <w:spacing w:line="36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15.4.1 保修责任</w:t>
      </w:r>
    </w:p>
    <w:p>
      <w:pPr>
        <w:pStyle w:val="47"/>
        <w:spacing w:line="360" w:lineRule="auto"/>
        <w:ind w:firstLine="468" w:firstLineChars="195"/>
        <w:jc w:val="left"/>
        <w:rPr>
          <w:rFonts w:hint="eastAsia" w:ascii="宋体" w:hAnsi="宋体" w:eastAsia="宋体" w:cs="宋体"/>
          <w:kern w:val="0"/>
          <w:sz w:val="24"/>
          <w:szCs w:val="24"/>
        </w:rPr>
      </w:pPr>
      <w:r>
        <w:rPr>
          <w:rFonts w:hint="eastAsia" w:ascii="宋体" w:hAnsi="宋体" w:eastAsia="宋体" w:cs="宋体"/>
          <w:sz w:val="24"/>
          <w:szCs w:val="24"/>
        </w:rPr>
        <w:t>工程保修期为：</w:t>
      </w:r>
      <w:r>
        <w:rPr>
          <w:rFonts w:hint="eastAsia" w:ascii="宋体" w:hAnsi="宋体" w:eastAsia="宋体" w:cs="宋体"/>
          <w:kern w:val="0"/>
          <w:sz w:val="24"/>
          <w:szCs w:val="24"/>
          <w:u w:val="single"/>
        </w:rPr>
        <w:t>详见《市政公用工程质量保修书》</w:t>
      </w:r>
      <w:r>
        <w:rPr>
          <w:rFonts w:hint="eastAsia" w:ascii="宋体" w:hAnsi="宋体" w:eastAsia="宋体" w:cs="宋体"/>
          <w:kern w:val="0"/>
          <w:sz w:val="24"/>
          <w:szCs w:val="24"/>
        </w:rPr>
        <w:t>。</w:t>
      </w:r>
    </w:p>
    <w:p>
      <w:pPr>
        <w:pStyle w:val="47"/>
        <w:spacing w:line="360" w:lineRule="auto"/>
        <w:ind w:firstLine="468" w:firstLineChars="195"/>
        <w:jc w:val="left"/>
        <w:rPr>
          <w:rFonts w:hint="eastAsia" w:ascii="宋体" w:hAnsi="宋体" w:eastAsia="宋体" w:cs="宋体"/>
          <w:kern w:val="0"/>
          <w:sz w:val="24"/>
          <w:szCs w:val="24"/>
          <w:u w:val="single"/>
        </w:rPr>
      </w:pPr>
      <w:r>
        <w:rPr>
          <w:rFonts w:hint="eastAsia" w:ascii="宋体" w:hAnsi="宋体" w:eastAsia="宋体" w:cs="宋体"/>
          <w:sz w:val="24"/>
          <w:szCs w:val="24"/>
        </w:rPr>
        <w:t>工程保修书具体内容见合同附件8。</w:t>
      </w:r>
    </w:p>
    <w:p>
      <w:pPr>
        <w:pStyle w:val="47"/>
        <w:spacing w:line="36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15.4.3 修复通知</w:t>
      </w:r>
    </w:p>
    <w:p>
      <w:pPr>
        <w:pStyle w:val="47"/>
        <w:tabs>
          <w:tab w:val="left" w:pos="6480"/>
        </w:tabs>
        <w:spacing w:line="360" w:lineRule="auto"/>
        <w:ind w:firstLine="468" w:firstLineChars="19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承包人收到保修通知并到达工程现场的合理时间：</w:t>
      </w:r>
      <w:r>
        <w:rPr>
          <w:rFonts w:hint="eastAsia" w:ascii="宋体" w:hAnsi="宋体" w:eastAsia="宋体" w:cs="宋体"/>
          <w:kern w:val="0"/>
          <w:sz w:val="24"/>
          <w:szCs w:val="24"/>
          <w:u w:val="single"/>
        </w:rPr>
        <w:t>接到保修通知之日起3个工作日内</w:t>
      </w:r>
      <w:r>
        <w:rPr>
          <w:rFonts w:hint="eastAsia" w:ascii="宋体" w:hAnsi="宋体" w:eastAsia="宋体" w:cs="宋体"/>
          <w:kern w:val="0"/>
          <w:sz w:val="24"/>
          <w:szCs w:val="24"/>
        </w:rPr>
        <w:t>。</w:t>
      </w:r>
    </w:p>
    <w:bookmarkEnd w:id="980"/>
    <w:bookmarkEnd w:id="981"/>
    <w:bookmarkEnd w:id="982"/>
    <w:bookmarkEnd w:id="983"/>
    <w:p>
      <w:pPr>
        <w:pStyle w:val="46"/>
        <w:tabs>
          <w:tab w:val="left" w:pos="6480"/>
        </w:tabs>
        <w:spacing w:after="0"/>
        <w:rPr>
          <w:rFonts w:hint="eastAsia" w:ascii="宋体" w:hAnsi="宋体" w:eastAsia="宋体" w:cs="宋体"/>
          <w:sz w:val="24"/>
          <w:szCs w:val="24"/>
        </w:rPr>
      </w:pPr>
      <w:bookmarkStart w:id="1027" w:name="_Toc373227766"/>
      <w:bookmarkStart w:id="1028" w:name="_Toc1186"/>
      <w:bookmarkStart w:id="1029" w:name="_Toc508111603"/>
      <w:bookmarkStart w:id="1030" w:name="_Toc351203648"/>
      <w:bookmarkStart w:id="1031" w:name="_Toc1267"/>
      <w:bookmarkStart w:id="1032" w:name="_Toc373478413"/>
      <w:bookmarkStart w:id="1033" w:name="_Toc466476846"/>
      <w:bookmarkStart w:id="1034" w:name="_Toc389065331"/>
      <w:bookmarkStart w:id="1035" w:name="_Toc280868717"/>
      <w:bookmarkStart w:id="1036" w:name="_Toc280868718"/>
      <w:r>
        <w:rPr>
          <w:rFonts w:hint="eastAsia" w:ascii="宋体" w:hAnsi="宋体" w:eastAsia="宋体" w:cs="宋体"/>
          <w:sz w:val="24"/>
          <w:szCs w:val="24"/>
        </w:rPr>
        <w:t>16. 违约</w:t>
      </w:r>
      <w:bookmarkEnd w:id="1027"/>
      <w:bookmarkEnd w:id="1028"/>
      <w:bookmarkEnd w:id="1029"/>
      <w:bookmarkEnd w:id="1030"/>
      <w:bookmarkEnd w:id="1031"/>
      <w:bookmarkEnd w:id="1032"/>
      <w:bookmarkEnd w:id="1033"/>
      <w:bookmarkEnd w:id="1034"/>
    </w:p>
    <w:p>
      <w:pPr>
        <w:pStyle w:val="48"/>
        <w:tabs>
          <w:tab w:val="left" w:pos="6480"/>
        </w:tabs>
        <w:spacing w:before="0" w:after="0"/>
        <w:rPr>
          <w:rFonts w:hint="eastAsia" w:ascii="宋体" w:hAnsi="宋体" w:eastAsia="宋体" w:cs="宋体"/>
          <w:sz w:val="24"/>
          <w:szCs w:val="24"/>
        </w:rPr>
      </w:pPr>
      <w:bookmarkStart w:id="1037" w:name="_Toc466476847"/>
      <w:bookmarkStart w:id="1038" w:name="_Toc373227767"/>
      <w:bookmarkStart w:id="1039" w:name="_Toc389065332"/>
      <w:bookmarkStart w:id="1040" w:name="_Toc46"/>
      <w:bookmarkStart w:id="1041" w:name="_Toc373478414"/>
      <w:bookmarkStart w:id="1042" w:name="_Toc416"/>
      <w:bookmarkStart w:id="1043" w:name="_Toc508111604"/>
      <w:r>
        <w:rPr>
          <w:rFonts w:hint="eastAsia" w:ascii="宋体" w:hAnsi="宋体" w:eastAsia="宋体" w:cs="宋体"/>
          <w:sz w:val="24"/>
          <w:szCs w:val="24"/>
        </w:rPr>
        <w:t>16.1 发包人违约</w:t>
      </w:r>
      <w:bookmarkEnd w:id="1037"/>
      <w:bookmarkEnd w:id="1038"/>
      <w:bookmarkEnd w:id="1039"/>
      <w:bookmarkEnd w:id="1040"/>
      <w:bookmarkEnd w:id="1041"/>
      <w:bookmarkEnd w:id="1042"/>
      <w:bookmarkEnd w:id="1043"/>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发包人违约责任的承担方式和计算方法：</w:t>
      </w:r>
    </w:p>
    <w:p>
      <w:pPr>
        <w:pStyle w:val="47"/>
        <w:spacing w:line="360" w:lineRule="auto"/>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（1）因发包人原因未能在计划开工日期前7天内下达开工通知的违约责任：</w:t>
      </w:r>
      <w:r>
        <w:rPr>
          <w:rFonts w:hint="eastAsia" w:ascii="宋体" w:hAnsi="宋体" w:eastAsia="宋体" w:cs="宋体"/>
          <w:kern w:val="0"/>
          <w:sz w:val="24"/>
          <w:szCs w:val="24"/>
          <w:u w:val="single"/>
        </w:rPr>
        <w:t>每天赔偿金额为合同价款扣除建安劳保费、发包人材料价款、暂估专业工程、暂列金额后的的万分之四</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（2）因发包人原因未能按合同约定支付合同价款的违约责任：</w:t>
      </w:r>
      <w:r>
        <w:rPr>
          <w:rFonts w:hint="eastAsia" w:ascii="宋体" w:hAnsi="宋体" w:eastAsia="宋体" w:cs="宋体"/>
          <w:kern w:val="0"/>
          <w:sz w:val="24"/>
          <w:szCs w:val="24"/>
          <w:u w:val="single"/>
        </w:rPr>
        <w:t>每天赔偿金额为为逾期支付工程合同价款扣除建安劳保费、发包人材料价款、暂估专业工程、暂列金额后的的万分之四</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（3）发包人违反第10.1款〔变更的范围〕第（2）项约定，自行实施被取消的工作或转由他人实施的违约责任：</w:t>
      </w:r>
      <w:r>
        <w:rPr>
          <w:rFonts w:hint="eastAsia" w:ascii="宋体" w:hAnsi="宋体" w:eastAsia="宋体" w:cs="宋体"/>
          <w:kern w:val="0"/>
          <w:sz w:val="24"/>
          <w:szCs w:val="24"/>
          <w:u w:val="single"/>
        </w:rPr>
        <w:t>每天赔偿金额发包人自行实施被取消的工作或转由他人实施的工程的合同价款扣除建安劳保费、发包人材料价款、暂估专业工程、暂列金额后的的万分之四</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（4）发包人提供的材料、工程设备的规格、数量或质量不符合合同约定，或因发包人原因导致交货日期延误或交货地点变更等情况的违约责任：</w:t>
      </w:r>
      <w:r>
        <w:rPr>
          <w:rFonts w:hint="eastAsia" w:ascii="宋体" w:hAnsi="宋体" w:eastAsia="宋体" w:cs="宋体"/>
          <w:kern w:val="0"/>
          <w:sz w:val="24"/>
          <w:szCs w:val="24"/>
          <w:u w:val="single"/>
        </w:rPr>
        <w:t>每天赔偿金额为合同价款扣除建安劳保费、发包人材料价款、暂估专业工程、暂列金额后的的万分之四</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（5）因发包人违反合同约定造成暂停施工的违约责任：</w:t>
      </w:r>
      <w:r>
        <w:rPr>
          <w:rFonts w:hint="eastAsia" w:ascii="宋体" w:hAnsi="宋体" w:eastAsia="宋体" w:cs="宋体"/>
          <w:kern w:val="0"/>
          <w:sz w:val="24"/>
          <w:szCs w:val="24"/>
          <w:u w:val="single"/>
        </w:rPr>
        <w:t>每天赔偿金额为合同价款扣除建安劳保费、发包人材料价款、暂估专业工程、暂列金额后的的万分之四</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（6）发包人无正当理由没有在约定期限内发出复工指示，导致承包人无法复工的违约责任：</w:t>
      </w:r>
      <w:r>
        <w:rPr>
          <w:rFonts w:hint="eastAsia" w:ascii="宋体" w:hAnsi="宋体" w:eastAsia="宋体" w:cs="宋体"/>
          <w:kern w:val="0"/>
          <w:sz w:val="24"/>
          <w:szCs w:val="24"/>
          <w:u w:val="single"/>
        </w:rPr>
        <w:t>造成工期延误的，工期应当顺延，并给予每天赔偿金额为合同价款扣除建安劳保费、发包人材料价款、暂估专业工程、暂列金额后的的万分之四</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（7）其他：</w:t>
      </w:r>
      <w:r>
        <w:rPr>
          <w:rFonts w:hint="eastAsia" w:ascii="宋体" w:hAnsi="宋体" w:eastAsia="宋体" w:cs="宋体"/>
          <w:kern w:val="0"/>
          <w:sz w:val="24"/>
          <w:szCs w:val="24"/>
          <w:u w:val="single"/>
        </w:rPr>
        <w:t xml:space="preserve">  /   </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16.1.3 因发包人违约解除合同</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承包人按16.1.1项〔发包人违约的情形〕约定暂停施工满</w:t>
      </w:r>
      <w:r>
        <w:rPr>
          <w:rFonts w:hint="eastAsia" w:ascii="宋体" w:hAnsi="宋体" w:eastAsia="宋体" w:cs="宋体"/>
          <w:kern w:val="0"/>
          <w:sz w:val="24"/>
          <w:szCs w:val="24"/>
          <w:u w:val="single"/>
        </w:rPr>
        <w:t>28</w:t>
      </w:r>
      <w:r>
        <w:rPr>
          <w:rFonts w:hint="eastAsia" w:ascii="宋体" w:hAnsi="宋体" w:eastAsia="宋体" w:cs="宋体"/>
          <w:kern w:val="0"/>
          <w:sz w:val="24"/>
          <w:szCs w:val="24"/>
        </w:rPr>
        <w:t>天后发包人仍不纠正其违约行为并致使合同目的不能实现的，承包人有权解除合同。</w:t>
      </w:r>
    </w:p>
    <w:p>
      <w:pPr>
        <w:pStyle w:val="48"/>
        <w:tabs>
          <w:tab w:val="left" w:pos="6480"/>
        </w:tabs>
        <w:spacing w:before="0" w:after="0"/>
        <w:rPr>
          <w:rFonts w:hint="eastAsia" w:ascii="宋体" w:hAnsi="宋体" w:eastAsia="宋体" w:cs="宋体"/>
          <w:sz w:val="24"/>
          <w:szCs w:val="24"/>
        </w:rPr>
      </w:pPr>
      <w:bookmarkStart w:id="1044" w:name="_Toc373478415"/>
      <w:bookmarkStart w:id="1045" w:name="_Toc389065333"/>
      <w:bookmarkStart w:id="1046" w:name="_Toc373227768"/>
      <w:bookmarkStart w:id="1047" w:name="_Toc508111605"/>
      <w:bookmarkStart w:id="1048" w:name="_Toc466476848"/>
      <w:bookmarkStart w:id="1049" w:name="_Toc28918"/>
      <w:bookmarkStart w:id="1050" w:name="_Toc31601"/>
      <w:r>
        <w:rPr>
          <w:rFonts w:hint="eastAsia" w:ascii="宋体" w:hAnsi="宋体" w:eastAsia="宋体" w:cs="宋体"/>
          <w:sz w:val="24"/>
          <w:szCs w:val="24"/>
        </w:rPr>
        <w:t>16.2 承包人违约</w:t>
      </w:r>
      <w:bookmarkEnd w:id="1044"/>
      <w:bookmarkEnd w:id="1045"/>
      <w:bookmarkEnd w:id="1046"/>
      <w:bookmarkEnd w:id="1047"/>
      <w:bookmarkEnd w:id="1048"/>
      <w:bookmarkEnd w:id="1049"/>
      <w:bookmarkEnd w:id="1050"/>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16.2.1 承包人违约的情形</w:t>
      </w:r>
    </w:p>
    <w:p>
      <w:pPr>
        <w:pStyle w:val="47"/>
        <w:spacing w:line="360" w:lineRule="auto"/>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承包人违约的其他情形：</w:t>
      </w:r>
      <w:r>
        <w:rPr>
          <w:rFonts w:hint="eastAsia" w:ascii="宋体" w:hAnsi="宋体" w:eastAsia="宋体" w:cs="宋体"/>
          <w:kern w:val="0"/>
          <w:sz w:val="24"/>
          <w:szCs w:val="24"/>
          <w:u w:val="single"/>
        </w:rPr>
        <w:t>按本合同通用条款第16.2条执行</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16.2.2承包人违约的责任</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承包人违约责任的承担方式和计算方法：</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承包人有本合同通用条款第16.2.1（2）、（3）条情形的，承包人无条件返工处理，修复至符合工程质量要求并承担相关费用，并在发包人规定的时间内完成返工，否则视为承包人违约，发包人有权在工程款中扣留该分部分项工程造价的10%作为违约金。</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承包人有本合同通用条款第16.2.1（6）条情形的，或经监理人检验认为修复质量不合格而承包人拒绝再进行修补的，发包人将扣除承包人全部质量保证金，质量保证金不足以支付修复费用的，不足部分发包人有权向承包人追偿。</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承包人有本专用合同条款3.2、3.3条违约责任的，发包人有权扣除承包人的违约金。违约金金额均在承包人的履约保证金及工程进度款内扣除。监理人预先下发含有罚款意向的指令，如承包人不及时采取措施纠正，则在指令下达后十五天下发罚款通知书（不再陈述罚款理由）。承包人履约保证金被扣除后由发包人从扣除后最近一次的计量工程进度款中扣除相应金额补足履约保证金。承包人在合同期内，完成合同规定的全部工程，且质量合格，在本工程施工竣工验收后十五天内可申请返还全部或部分违约金，返还金额由监理人审核，发包人批准。罚款金额返还时不包括银行利息。</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16.2.3 因承包人违约解除合同</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关于承包人违约解除合同的特别约定：</w:t>
      </w:r>
      <w:r>
        <w:rPr>
          <w:rFonts w:hint="eastAsia" w:ascii="宋体" w:hAnsi="宋体" w:eastAsia="宋体" w:cs="宋体"/>
          <w:kern w:val="0"/>
          <w:sz w:val="24"/>
          <w:szCs w:val="24"/>
          <w:u w:val="single"/>
        </w:rPr>
        <w:t>承包人有违反以下情况之一的，发包人有权解除合同，并从履约</w:t>
      </w:r>
      <w:r>
        <w:rPr>
          <w:rFonts w:hint="eastAsia" w:ascii="宋体" w:hAnsi="宋体" w:eastAsia="宋体" w:cs="宋体"/>
          <w:sz w:val="24"/>
          <w:szCs w:val="24"/>
          <w:u w:val="single"/>
        </w:rPr>
        <w:t>担保</w:t>
      </w:r>
      <w:r>
        <w:rPr>
          <w:rFonts w:hint="eastAsia" w:ascii="宋体" w:hAnsi="宋体" w:eastAsia="宋体" w:cs="宋体"/>
          <w:kern w:val="0"/>
          <w:sz w:val="24"/>
          <w:szCs w:val="24"/>
          <w:u w:val="single"/>
        </w:rPr>
        <w:t>中扣除相应金额</w:t>
      </w:r>
      <w:r>
        <w:rPr>
          <w:rFonts w:hint="eastAsia" w:ascii="宋体" w:hAnsi="宋体" w:eastAsia="宋体" w:cs="宋体"/>
          <w:kern w:val="0"/>
          <w:sz w:val="24"/>
          <w:szCs w:val="24"/>
        </w:rPr>
        <w:t>。</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(1)承包人无正当理由不按开工通知的要求及时进场组织施工和不按签订协议书时商定的进度计划有效地开展施工准备，造成工期延误的；</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(2)承包人违反本合同通用条款第3.5条规定私自将合同或合同的任何部分或任何权利转让给其他人，或私自将工程或工程的一部分分包出去的；</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(3)未经监理人批准，承包人私自将已按投标文件承诺进入工地的工程设备、施工设备、临时工程或材料撤离工地的；</w:t>
      </w:r>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(4)由于承包人原因拒绝按合同进度计划及时完成合同规定的工程造成工期延误（延误30天以上经发包人发函要求整改），而又未采取有效措施赶上进度，造成工期延误的；</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(5)承包人否认合同有效或拒绝履行合同规定的承包人义务，或由于法律、财务等原因导致承包人无法继续履行或实质上已停止履行合同的义务的；</w:t>
      </w:r>
    </w:p>
    <w:p>
      <w:pPr>
        <w:pStyle w:val="47"/>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(6)合同签订之日起十五日内，承包人无法按合同规定及投标文件的承诺进场经监理工程师认可的全部人员和机械的。</w:t>
      </w:r>
    </w:p>
    <w:p>
      <w:pPr>
        <w:pStyle w:val="47"/>
        <w:tabs>
          <w:tab w:val="left" w:pos="6480"/>
        </w:tabs>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发包人继续使用承包人在施工现场的材料、设备、临时工程、承包人文件和由承包人或以其名义编制的其他文件的费用承担方式：</w:t>
      </w:r>
      <w:r>
        <w:rPr>
          <w:rFonts w:hint="eastAsia" w:ascii="宋体" w:hAnsi="宋体" w:eastAsia="宋体" w:cs="宋体"/>
          <w:kern w:val="0"/>
          <w:sz w:val="24"/>
          <w:szCs w:val="24"/>
          <w:u w:val="single"/>
        </w:rPr>
        <w:t>以实际使用按相关规定计价</w:t>
      </w:r>
      <w:r>
        <w:rPr>
          <w:rFonts w:hint="eastAsia" w:ascii="宋体" w:hAnsi="宋体" w:eastAsia="宋体" w:cs="宋体"/>
          <w:kern w:val="0"/>
          <w:sz w:val="24"/>
          <w:szCs w:val="24"/>
        </w:rPr>
        <w:t>。</w:t>
      </w:r>
    </w:p>
    <w:p>
      <w:pPr>
        <w:pStyle w:val="46"/>
        <w:tabs>
          <w:tab w:val="left" w:pos="6480"/>
        </w:tabs>
        <w:spacing w:after="0"/>
        <w:rPr>
          <w:rFonts w:hint="eastAsia" w:ascii="宋体" w:hAnsi="宋体" w:eastAsia="宋体" w:cs="宋体"/>
          <w:sz w:val="24"/>
          <w:szCs w:val="24"/>
        </w:rPr>
      </w:pPr>
      <w:bookmarkStart w:id="1051" w:name="_Toc351203649"/>
      <w:bookmarkStart w:id="1052" w:name="_Toc389065334"/>
      <w:bookmarkStart w:id="1053" w:name="_Toc26676"/>
      <w:bookmarkStart w:id="1054" w:name="_Toc373478416"/>
      <w:bookmarkStart w:id="1055" w:name="_Toc26190"/>
      <w:bookmarkStart w:id="1056" w:name="_Toc466476849"/>
      <w:bookmarkStart w:id="1057" w:name="_Toc508111606"/>
      <w:bookmarkStart w:id="1058" w:name="_Toc373227769"/>
      <w:r>
        <w:rPr>
          <w:rFonts w:hint="eastAsia" w:ascii="宋体" w:hAnsi="宋体" w:eastAsia="宋体" w:cs="宋体"/>
          <w:sz w:val="24"/>
          <w:szCs w:val="24"/>
        </w:rPr>
        <w:t>17. 不可抗力</w:t>
      </w:r>
      <w:bookmarkEnd w:id="1035"/>
      <w:bookmarkEnd w:id="1051"/>
      <w:bookmarkEnd w:id="1052"/>
      <w:bookmarkEnd w:id="1053"/>
      <w:bookmarkEnd w:id="1054"/>
      <w:bookmarkEnd w:id="1055"/>
      <w:bookmarkEnd w:id="1056"/>
      <w:bookmarkEnd w:id="1057"/>
      <w:bookmarkEnd w:id="1058"/>
    </w:p>
    <w:p>
      <w:pPr>
        <w:pStyle w:val="48"/>
        <w:tabs>
          <w:tab w:val="left" w:pos="6480"/>
        </w:tabs>
        <w:spacing w:before="0" w:after="0"/>
        <w:rPr>
          <w:rFonts w:hint="eastAsia" w:ascii="宋体" w:hAnsi="宋体" w:eastAsia="宋体" w:cs="宋体"/>
          <w:sz w:val="24"/>
          <w:szCs w:val="24"/>
        </w:rPr>
      </w:pPr>
      <w:bookmarkStart w:id="1059" w:name="_Toc389065335"/>
      <w:bookmarkStart w:id="1060" w:name="_Toc4589"/>
      <w:bookmarkStart w:id="1061" w:name="_Toc466476850"/>
      <w:bookmarkStart w:id="1062" w:name="_Toc23739"/>
      <w:bookmarkStart w:id="1063" w:name="_Toc373478417"/>
      <w:bookmarkStart w:id="1064" w:name="_Toc373227770"/>
      <w:bookmarkStart w:id="1065" w:name="_Toc508111607"/>
      <w:r>
        <w:rPr>
          <w:rFonts w:hint="eastAsia" w:ascii="宋体" w:hAnsi="宋体" w:eastAsia="宋体" w:cs="宋体"/>
          <w:sz w:val="24"/>
          <w:szCs w:val="24"/>
        </w:rPr>
        <w:t>17.1 不可抗力的确认</w:t>
      </w:r>
      <w:bookmarkEnd w:id="1059"/>
      <w:bookmarkEnd w:id="1060"/>
      <w:bookmarkEnd w:id="1061"/>
      <w:bookmarkEnd w:id="1062"/>
      <w:bookmarkEnd w:id="1063"/>
      <w:bookmarkEnd w:id="1064"/>
      <w:bookmarkEnd w:id="1065"/>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除通用合同条款约定的不可抗力事件之外，视为不可抗力的其他情形：</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（1）发生烈度6级（含6级）以上的地震；</w:t>
      </w:r>
    </w:p>
    <w:p>
      <w:pPr>
        <w:pStyle w:val="47"/>
        <w:spacing w:line="39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（2）10级以上持续1天的大风；</w:t>
      </w:r>
    </w:p>
    <w:p>
      <w:pPr>
        <w:pStyle w:val="47"/>
        <w:spacing w:line="39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（3）暴雨级</w:t>
      </w:r>
      <w:r>
        <w:rPr>
          <w:rFonts w:hint="eastAsia" w:ascii="宋体" w:hAnsi="宋体" w:eastAsia="宋体" w:cs="宋体"/>
          <w:sz w:val="24"/>
          <w:szCs w:val="24"/>
        </w:rPr>
        <w:t>日降雨量大于200㎜的雨日超过 1 天</w:t>
      </w:r>
      <w:r>
        <w:rPr>
          <w:rFonts w:hint="eastAsia" w:ascii="宋体" w:hAnsi="宋体" w:eastAsia="宋体" w:cs="宋体"/>
          <w:sz w:val="24"/>
          <w:szCs w:val="24"/>
          <w:u w:val="single"/>
        </w:rPr>
        <w:t>；</w:t>
      </w:r>
    </w:p>
    <w:p>
      <w:pPr>
        <w:pStyle w:val="47"/>
        <w:spacing w:line="39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（4）50年以上未发生过，持续2天的高温（40℃）天气；</w:t>
      </w:r>
    </w:p>
    <w:p>
      <w:pPr>
        <w:pStyle w:val="47"/>
        <w:spacing w:line="39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（5）50年以上未发生过，持续2天的低温（-10℃）天气；</w:t>
      </w:r>
    </w:p>
    <w:p>
      <w:pPr>
        <w:pStyle w:val="47"/>
        <w:spacing w:line="39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（6）100年以上未发生过的洪水；</w:t>
      </w:r>
    </w:p>
    <w:p>
      <w:pPr>
        <w:pStyle w:val="47"/>
        <w:spacing w:line="39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（7）战争、恐怖主义、动乱、空中飞行物体坠落；</w:t>
      </w:r>
    </w:p>
    <w:p>
      <w:pPr>
        <w:pStyle w:val="47"/>
        <w:tabs>
          <w:tab w:val="left" w:pos="6480"/>
        </w:tabs>
        <w:spacing w:line="42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（8）当地气象部门规定的情况，当地地震部门规定的情况，当地卫生部门规定的情况。</w:t>
      </w:r>
    </w:p>
    <w:p>
      <w:pPr>
        <w:pStyle w:val="48"/>
        <w:tabs>
          <w:tab w:val="left" w:pos="6480"/>
        </w:tabs>
        <w:spacing w:beforeLines="50" w:after="0"/>
        <w:rPr>
          <w:rFonts w:hint="eastAsia" w:ascii="宋体" w:hAnsi="宋体" w:eastAsia="宋体" w:cs="宋体"/>
          <w:sz w:val="24"/>
          <w:szCs w:val="24"/>
        </w:rPr>
      </w:pPr>
      <w:bookmarkStart w:id="1066" w:name="_Toc21660"/>
      <w:bookmarkStart w:id="1067" w:name="_Toc373227771"/>
      <w:bookmarkStart w:id="1068" w:name="_Toc389065336"/>
      <w:bookmarkStart w:id="1069" w:name="_Toc373478418"/>
      <w:bookmarkStart w:id="1070" w:name="_Toc23958"/>
      <w:bookmarkStart w:id="1071" w:name="_Toc508111608"/>
      <w:bookmarkStart w:id="1072" w:name="_Toc466476851"/>
      <w:r>
        <w:rPr>
          <w:rFonts w:hint="eastAsia" w:ascii="宋体" w:hAnsi="宋体" w:eastAsia="宋体" w:cs="宋体"/>
          <w:sz w:val="24"/>
          <w:szCs w:val="24"/>
        </w:rPr>
        <w:t>17.4 因不可抗力解除合同</w:t>
      </w:r>
      <w:bookmarkEnd w:id="1066"/>
      <w:bookmarkEnd w:id="1067"/>
      <w:bookmarkEnd w:id="1068"/>
      <w:bookmarkEnd w:id="1069"/>
      <w:bookmarkEnd w:id="1070"/>
      <w:bookmarkEnd w:id="1071"/>
      <w:bookmarkEnd w:id="1072"/>
    </w:p>
    <w:p>
      <w:pPr>
        <w:pStyle w:val="47"/>
        <w:tabs>
          <w:tab w:val="left" w:pos="6480"/>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合同解除后，发包人应在商定或确定发包人应支付款项后</w:t>
      </w:r>
      <w:r>
        <w:rPr>
          <w:rFonts w:hint="eastAsia" w:ascii="宋体" w:hAnsi="宋体" w:eastAsia="宋体" w:cs="宋体"/>
          <w:sz w:val="24"/>
          <w:szCs w:val="24"/>
          <w:u w:val="single"/>
        </w:rPr>
        <w:t xml:space="preserve"> 28 </w:t>
      </w:r>
      <w:r>
        <w:rPr>
          <w:rFonts w:hint="eastAsia" w:ascii="宋体" w:hAnsi="宋体" w:eastAsia="宋体" w:cs="宋体"/>
          <w:sz w:val="24"/>
          <w:szCs w:val="24"/>
        </w:rPr>
        <w:t>天内完成款项的支付。</w:t>
      </w:r>
    </w:p>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36"/>
    <w:p>
      <w:pPr>
        <w:pStyle w:val="46"/>
        <w:spacing w:after="0"/>
        <w:rPr>
          <w:rFonts w:hint="eastAsia" w:ascii="宋体" w:hAnsi="宋体" w:eastAsia="宋体" w:cs="宋体"/>
          <w:sz w:val="24"/>
          <w:szCs w:val="24"/>
        </w:rPr>
      </w:pPr>
      <w:bookmarkStart w:id="1073" w:name="_Toc20072"/>
      <w:bookmarkStart w:id="1074" w:name="_Toc19841"/>
      <w:bookmarkStart w:id="1075" w:name="_Toc31376"/>
      <w:bookmarkStart w:id="1076" w:name="_Toc14382"/>
      <w:bookmarkStart w:id="1077" w:name="_Toc395382575"/>
      <w:bookmarkStart w:id="1078" w:name="_Toc2455"/>
      <w:bookmarkStart w:id="1079" w:name="_Toc1393"/>
      <w:bookmarkStart w:id="1080" w:name="_Toc459809196"/>
      <w:bookmarkStart w:id="1081" w:name="_Toc6892"/>
      <w:bookmarkStart w:id="1082" w:name="_Toc16467"/>
      <w:bookmarkStart w:id="1083" w:name="_Toc508111609"/>
      <w:bookmarkStart w:id="1084" w:name="_Toc21430"/>
      <w:r>
        <w:rPr>
          <w:rFonts w:hint="eastAsia" w:ascii="宋体" w:hAnsi="宋体" w:eastAsia="宋体" w:cs="宋体"/>
          <w:sz w:val="24"/>
          <w:szCs w:val="24"/>
        </w:rPr>
        <w:t>18. 保险</w:t>
      </w:r>
      <w:bookmarkEnd w:id="1073"/>
      <w:bookmarkEnd w:id="1074"/>
      <w:bookmarkEnd w:id="1075"/>
      <w:bookmarkEnd w:id="1076"/>
      <w:bookmarkEnd w:id="1077"/>
      <w:bookmarkEnd w:id="1078"/>
      <w:bookmarkEnd w:id="1079"/>
      <w:bookmarkEnd w:id="1080"/>
      <w:bookmarkEnd w:id="1081"/>
      <w:bookmarkEnd w:id="1082"/>
      <w:bookmarkEnd w:id="1083"/>
      <w:bookmarkEnd w:id="1084"/>
    </w:p>
    <w:p>
      <w:pPr>
        <w:pStyle w:val="48"/>
        <w:tabs>
          <w:tab w:val="left" w:pos="6480"/>
        </w:tabs>
        <w:spacing w:before="0" w:after="0"/>
        <w:rPr>
          <w:rFonts w:hint="eastAsia" w:ascii="宋体" w:hAnsi="宋体" w:eastAsia="宋体" w:cs="宋体"/>
          <w:sz w:val="24"/>
          <w:szCs w:val="24"/>
        </w:rPr>
      </w:pPr>
      <w:bookmarkStart w:id="1085" w:name="_Toc459809197"/>
      <w:bookmarkStart w:id="1086" w:name="_Toc1171"/>
      <w:bookmarkStart w:id="1087" w:name="_Toc16191"/>
      <w:bookmarkStart w:id="1088" w:name="_Toc508111610"/>
      <w:bookmarkStart w:id="1089" w:name="_Toc16336"/>
      <w:bookmarkStart w:id="1090" w:name="_Toc8173"/>
      <w:bookmarkStart w:id="1091" w:name="_Toc21620"/>
      <w:bookmarkStart w:id="1092" w:name="_Toc21637"/>
      <w:bookmarkStart w:id="1093" w:name="_Toc1154"/>
      <w:bookmarkStart w:id="1094" w:name="_Toc26396"/>
      <w:bookmarkStart w:id="1095" w:name="_Toc23102"/>
      <w:bookmarkStart w:id="1096" w:name="_Toc395382576"/>
      <w:r>
        <w:rPr>
          <w:rFonts w:hint="eastAsia" w:ascii="宋体" w:hAnsi="宋体" w:eastAsia="宋体" w:cs="宋体"/>
          <w:sz w:val="24"/>
          <w:szCs w:val="24"/>
        </w:rPr>
        <w:t>18.1 工程保险</w:t>
      </w:r>
      <w:bookmarkEnd w:id="1085"/>
      <w:bookmarkEnd w:id="1086"/>
      <w:bookmarkEnd w:id="1087"/>
      <w:bookmarkEnd w:id="1088"/>
      <w:bookmarkEnd w:id="1089"/>
      <w:bookmarkEnd w:id="1090"/>
      <w:bookmarkEnd w:id="1091"/>
      <w:bookmarkEnd w:id="1092"/>
      <w:bookmarkEnd w:id="1093"/>
      <w:bookmarkEnd w:id="1094"/>
      <w:bookmarkEnd w:id="1095"/>
      <w:bookmarkEnd w:id="1096"/>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关于工程保险的特别约定：</w:t>
      </w:r>
      <w:r>
        <w:rPr>
          <w:rFonts w:hint="eastAsia" w:ascii="宋体" w:hAnsi="宋体" w:eastAsia="宋体" w:cs="宋体"/>
          <w:kern w:val="0"/>
          <w:sz w:val="24"/>
          <w:szCs w:val="24"/>
          <w:u w:val="single"/>
        </w:rPr>
        <w:t xml:space="preserve">             /                 </w:t>
      </w:r>
      <w:r>
        <w:rPr>
          <w:rFonts w:hint="eastAsia" w:ascii="宋体" w:hAnsi="宋体" w:eastAsia="宋体" w:cs="宋体"/>
          <w:kern w:val="0"/>
          <w:sz w:val="24"/>
          <w:szCs w:val="24"/>
        </w:rPr>
        <w:t>。</w:t>
      </w:r>
    </w:p>
    <w:p>
      <w:pPr>
        <w:pStyle w:val="48"/>
        <w:tabs>
          <w:tab w:val="left" w:pos="6480"/>
        </w:tabs>
        <w:spacing w:before="0" w:after="0"/>
        <w:rPr>
          <w:rFonts w:hint="eastAsia" w:ascii="宋体" w:hAnsi="宋体" w:eastAsia="宋体" w:cs="宋体"/>
          <w:sz w:val="24"/>
          <w:szCs w:val="24"/>
        </w:rPr>
      </w:pPr>
      <w:bookmarkStart w:id="1097" w:name="_Toc459809198"/>
      <w:bookmarkStart w:id="1098" w:name="_Toc4031"/>
      <w:bookmarkStart w:id="1099" w:name="_Toc11605"/>
      <w:bookmarkStart w:id="1100" w:name="_Toc16273"/>
      <w:bookmarkStart w:id="1101" w:name="_Toc23076"/>
      <w:bookmarkStart w:id="1102" w:name="_Toc508111611"/>
      <w:bookmarkStart w:id="1103" w:name="_Toc395382577"/>
      <w:bookmarkStart w:id="1104" w:name="_Toc32525"/>
      <w:bookmarkStart w:id="1105" w:name="_Toc25152"/>
      <w:bookmarkStart w:id="1106" w:name="_Toc19156"/>
      <w:bookmarkStart w:id="1107" w:name="_Toc9333"/>
      <w:bookmarkStart w:id="1108" w:name="_Toc9375"/>
      <w:r>
        <w:rPr>
          <w:rFonts w:hint="eastAsia" w:ascii="宋体" w:hAnsi="宋体" w:eastAsia="宋体" w:cs="宋体"/>
          <w:sz w:val="24"/>
          <w:szCs w:val="24"/>
        </w:rPr>
        <w:t>18.3 其他保险</w:t>
      </w:r>
      <w:bookmarkEnd w:id="1097"/>
      <w:bookmarkEnd w:id="1098"/>
      <w:bookmarkEnd w:id="1099"/>
      <w:bookmarkEnd w:id="1100"/>
      <w:bookmarkEnd w:id="1101"/>
      <w:bookmarkEnd w:id="1102"/>
      <w:bookmarkEnd w:id="1103"/>
      <w:bookmarkEnd w:id="1104"/>
      <w:bookmarkEnd w:id="1105"/>
      <w:bookmarkEnd w:id="1106"/>
      <w:bookmarkEnd w:id="1107"/>
      <w:bookmarkEnd w:id="1108"/>
    </w:p>
    <w:p>
      <w:pPr>
        <w:pStyle w:val="47"/>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关于其他保险的约定：</w:t>
      </w:r>
      <w:r>
        <w:rPr>
          <w:rFonts w:hint="eastAsia" w:ascii="宋体" w:hAnsi="宋体" w:eastAsia="宋体" w:cs="宋体"/>
          <w:sz w:val="24"/>
          <w:szCs w:val="24"/>
          <w:u w:val="single"/>
        </w:rPr>
        <w:t>承包人必须为施工现场从事施工的作业人员和管理人员办理意外伤害保险，并支付保险费</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承包人是否应为其施工设备等办理财产保险：</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8"/>
        <w:tabs>
          <w:tab w:val="left" w:pos="6480"/>
        </w:tabs>
        <w:spacing w:before="0" w:after="0"/>
        <w:rPr>
          <w:rFonts w:hint="eastAsia" w:ascii="宋体" w:hAnsi="宋体" w:eastAsia="宋体" w:cs="宋体"/>
          <w:sz w:val="24"/>
          <w:szCs w:val="24"/>
        </w:rPr>
      </w:pPr>
      <w:bookmarkStart w:id="1109" w:name="_Toc395382578"/>
      <w:bookmarkStart w:id="1110" w:name="_Toc4595"/>
      <w:bookmarkStart w:id="1111" w:name="_Toc24415"/>
      <w:bookmarkStart w:id="1112" w:name="_Toc14944"/>
      <w:bookmarkStart w:id="1113" w:name="_Toc21698"/>
      <w:bookmarkStart w:id="1114" w:name="_Toc508111612"/>
      <w:bookmarkStart w:id="1115" w:name="_Toc459809199"/>
      <w:bookmarkStart w:id="1116" w:name="_Toc16351"/>
      <w:bookmarkStart w:id="1117" w:name="_Toc7333"/>
      <w:bookmarkStart w:id="1118" w:name="_Toc2803"/>
      <w:bookmarkStart w:id="1119" w:name="_Toc24513"/>
      <w:bookmarkStart w:id="1120" w:name="_Toc29097"/>
      <w:r>
        <w:rPr>
          <w:rFonts w:hint="eastAsia" w:ascii="宋体" w:hAnsi="宋体" w:eastAsia="宋体" w:cs="宋体"/>
          <w:sz w:val="24"/>
          <w:szCs w:val="24"/>
        </w:rPr>
        <w:t>18.7 通知义务</w:t>
      </w:r>
      <w:bookmarkEnd w:id="1109"/>
      <w:bookmarkEnd w:id="1110"/>
      <w:bookmarkEnd w:id="1111"/>
      <w:bookmarkEnd w:id="1112"/>
      <w:bookmarkEnd w:id="1113"/>
      <w:bookmarkEnd w:id="1114"/>
      <w:bookmarkEnd w:id="1115"/>
      <w:bookmarkEnd w:id="1116"/>
      <w:bookmarkEnd w:id="1117"/>
      <w:bookmarkEnd w:id="1118"/>
      <w:bookmarkEnd w:id="1119"/>
      <w:bookmarkEnd w:id="1120"/>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kern w:val="0"/>
          <w:sz w:val="24"/>
          <w:szCs w:val="24"/>
        </w:rPr>
        <w:t>关于变更保险合同时的通知义务的约定：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6"/>
        <w:spacing w:after="0"/>
        <w:rPr>
          <w:rFonts w:hint="eastAsia" w:ascii="宋体" w:hAnsi="宋体" w:eastAsia="宋体" w:cs="宋体"/>
          <w:sz w:val="24"/>
          <w:szCs w:val="24"/>
        </w:rPr>
      </w:pPr>
      <w:bookmarkStart w:id="1121" w:name="_Toc13493"/>
      <w:bookmarkStart w:id="1122" w:name="_Toc31178"/>
      <w:bookmarkStart w:id="1123" w:name="_Toc24459"/>
      <w:bookmarkStart w:id="1124" w:name="_Toc395382579"/>
      <w:bookmarkStart w:id="1125" w:name="_Toc21766"/>
      <w:bookmarkStart w:id="1126" w:name="_Toc18148"/>
      <w:bookmarkStart w:id="1127" w:name="_Toc459809200"/>
      <w:bookmarkStart w:id="1128" w:name="_Toc508111613"/>
      <w:bookmarkStart w:id="1129" w:name="_Toc23037"/>
      <w:bookmarkStart w:id="1130" w:name="_Toc28684"/>
      <w:bookmarkStart w:id="1131" w:name="_Toc11297"/>
      <w:bookmarkStart w:id="1132" w:name="_Toc115"/>
      <w:r>
        <w:rPr>
          <w:rFonts w:hint="eastAsia" w:ascii="宋体" w:hAnsi="宋体" w:eastAsia="宋体" w:cs="宋体"/>
          <w:sz w:val="24"/>
          <w:szCs w:val="24"/>
        </w:rPr>
        <w:t>20. 争议解决</w:t>
      </w:r>
      <w:bookmarkEnd w:id="1121"/>
      <w:bookmarkEnd w:id="1122"/>
      <w:bookmarkEnd w:id="1123"/>
      <w:bookmarkEnd w:id="1124"/>
      <w:bookmarkEnd w:id="1125"/>
      <w:bookmarkEnd w:id="1126"/>
      <w:bookmarkEnd w:id="1127"/>
      <w:bookmarkEnd w:id="1128"/>
      <w:bookmarkEnd w:id="1129"/>
      <w:bookmarkEnd w:id="1130"/>
      <w:bookmarkEnd w:id="1131"/>
      <w:bookmarkEnd w:id="1132"/>
    </w:p>
    <w:p>
      <w:pPr>
        <w:pStyle w:val="48"/>
        <w:tabs>
          <w:tab w:val="left" w:pos="6480"/>
        </w:tabs>
        <w:spacing w:before="0" w:after="0"/>
        <w:rPr>
          <w:rFonts w:hint="eastAsia" w:ascii="宋体" w:hAnsi="宋体" w:eastAsia="宋体" w:cs="宋体"/>
          <w:sz w:val="24"/>
          <w:szCs w:val="24"/>
        </w:rPr>
      </w:pPr>
      <w:bookmarkStart w:id="1133" w:name="_Toc23101"/>
      <w:bookmarkStart w:id="1134" w:name="_Toc21705"/>
      <w:bookmarkStart w:id="1135" w:name="_Toc30703"/>
      <w:bookmarkStart w:id="1136" w:name="_Toc22865"/>
      <w:bookmarkStart w:id="1137" w:name="_Toc9567"/>
      <w:bookmarkStart w:id="1138" w:name="_Toc17326"/>
      <w:bookmarkStart w:id="1139" w:name="_Toc6610"/>
      <w:bookmarkStart w:id="1140" w:name="_Toc395382580"/>
      <w:bookmarkStart w:id="1141" w:name="_Toc508111614"/>
      <w:bookmarkStart w:id="1142" w:name="_Toc10310"/>
      <w:bookmarkStart w:id="1143" w:name="_Toc30870"/>
      <w:bookmarkStart w:id="1144" w:name="_Toc459809201"/>
      <w:r>
        <w:rPr>
          <w:rFonts w:hint="eastAsia" w:ascii="宋体" w:hAnsi="宋体" w:eastAsia="宋体" w:cs="宋体"/>
          <w:sz w:val="24"/>
          <w:szCs w:val="24"/>
        </w:rPr>
        <w:t>20.3 争议评审</w:t>
      </w:r>
      <w:bookmarkEnd w:id="1133"/>
      <w:bookmarkEnd w:id="1134"/>
      <w:bookmarkEnd w:id="1135"/>
      <w:bookmarkEnd w:id="1136"/>
      <w:bookmarkEnd w:id="1137"/>
      <w:bookmarkEnd w:id="1138"/>
      <w:bookmarkEnd w:id="1139"/>
      <w:bookmarkEnd w:id="1140"/>
      <w:bookmarkEnd w:id="1141"/>
      <w:bookmarkEnd w:id="1142"/>
      <w:bookmarkEnd w:id="1143"/>
      <w:bookmarkEnd w:id="1144"/>
    </w:p>
    <w:p>
      <w:pPr>
        <w:pStyle w:val="47"/>
        <w:spacing w:line="360" w:lineRule="auto"/>
        <w:ind w:left="149" w:leftChars="71" w:firstLine="360" w:firstLineChars="150"/>
        <w:jc w:val="left"/>
        <w:rPr>
          <w:rFonts w:hint="eastAsia" w:ascii="宋体" w:hAnsi="宋体" w:eastAsia="宋体" w:cs="宋体"/>
          <w:sz w:val="24"/>
          <w:szCs w:val="24"/>
          <w:u w:val="single"/>
        </w:rPr>
      </w:pPr>
      <w:r>
        <w:rPr>
          <w:rFonts w:hint="eastAsia" w:ascii="宋体" w:hAnsi="宋体" w:eastAsia="宋体" w:cs="宋体"/>
          <w:sz w:val="24"/>
          <w:szCs w:val="24"/>
        </w:rPr>
        <w:t>合同当事人是否同意将工程争议提交争议评审小组决定：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20.3.1 争议评审小组的确定</w:t>
      </w:r>
    </w:p>
    <w:p>
      <w:pPr>
        <w:pStyle w:val="47"/>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争议评审小组成员的确定：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选定争议评审员的期限：</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争议评审小组成员的报酬承担方式：</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其他事项的约定：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7"/>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20.3.2 争议评审小组的决定</w:t>
      </w:r>
    </w:p>
    <w:p>
      <w:pPr>
        <w:pStyle w:val="47"/>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合同当事人关于本项的约定：</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pStyle w:val="48"/>
        <w:pageBreakBefore w:val="0"/>
        <w:widowControl w:val="0"/>
        <w:tabs>
          <w:tab w:val="left" w:pos="6480"/>
        </w:tabs>
        <w:kinsoku/>
        <w:wordWrap/>
        <w:overflowPunct/>
        <w:topLinePunct w:val="0"/>
        <w:autoSpaceDE/>
        <w:autoSpaceDN/>
        <w:bidi w:val="0"/>
        <w:adjustRightInd/>
        <w:snapToGrid/>
        <w:spacing w:before="0" w:after="0" w:line="420" w:lineRule="exact"/>
        <w:textAlignment w:val="auto"/>
        <w:rPr>
          <w:rFonts w:hint="eastAsia" w:ascii="宋体" w:hAnsi="宋体" w:eastAsia="宋体" w:cs="宋体"/>
          <w:sz w:val="24"/>
          <w:szCs w:val="24"/>
        </w:rPr>
      </w:pPr>
      <w:bookmarkStart w:id="1145" w:name="_Toc17270"/>
      <w:bookmarkStart w:id="1146" w:name="_Toc23598"/>
      <w:bookmarkStart w:id="1147" w:name="_Toc20939"/>
      <w:bookmarkStart w:id="1148" w:name="_Toc395382581"/>
      <w:bookmarkStart w:id="1149" w:name="_Toc8893"/>
      <w:bookmarkStart w:id="1150" w:name="_Toc14952"/>
      <w:bookmarkStart w:id="1151" w:name="_Toc5182"/>
      <w:bookmarkStart w:id="1152" w:name="_Toc459809202"/>
      <w:bookmarkStart w:id="1153" w:name="_Toc2362"/>
      <w:bookmarkStart w:id="1154" w:name="_Toc4522"/>
      <w:bookmarkStart w:id="1155" w:name="_Toc508111615"/>
      <w:bookmarkStart w:id="1156" w:name="_Toc23494"/>
      <w:r>
        <w:rPr>
          <w:rFonts w:hint="eastAsia" w:ascii="宋体" w:hAnsi="宋体" w:eastAsia="宋体" w:cs="宋体"/>
          <w:sz w:val="24"/>
          <w:szCs w:val="24"/>
        </w:rPr>
        <w:t>20.4 仲裁或诉讼</w:t>
      </w:r>
      <w:bookmarkEnd w:id="1145"/>
      <w:bookmarkEnd w:id="1146"/>
      <w:bookmarkEnd w:id="1147"/>
      <w:bookmarkEnd w:id="1148"/>
      <w:bookmarkEnd w:id="1149"/>
      <w:bookmarkEnd w:id="1150"/>
      <w:bookmarkEnd w:id="1151"/>
      <w:bookmarkEnd w:id="1152"/>
      <w:bookmarkEnd w:id="1153"/>
      <w:bookmarkEnd w:id="1154"/>
      <w:bookmarkEnd w:id="1155"/>
      <w:bookmarkEnd w:id="1156"/>
    </w:p>
    <w:p>
      <w:pPr>
        <w:pStyle w:val="47"/>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因合同及合同有关事项发生的争议，按下列第</w:t>
      </w:r>
      <w:r>
        <w:rPr>
          <w:rFonts w:hint="eastAsia" w:ascii="宋体" w:hAnsi="宋体" w:eastAsia="宋体" w:cs="宋体"/>
          <w:sz w:val="24"/>
          <w:szCs w:val="24"/>
          <w:u w:val="single"/>
        </w:rPr>
        <w:t xml:space="preserve">   2  </w:t>
      </w:r>
      <w:r>
        <w:rPr>
          <w:rFonts w:hint="eastAsia" w:ascii="宋体" w:hAnsi="宋体" w:eastAsia="宋体" w:cs="宋体"/>
          <w:sz w:val="24"/>
          <w:szCs w:val="24"/>
        </w:rPr>
        <w:t>种方式解决：</w:t>
      </w:r>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（1）提请</w:t>
      </w:r>
      <w:r>
        <w:rPr>
          <w:rFonts w:hint="eastAsia" w:ascii="宋体" w:hAnsi="宋体" w:eastAsia="宋体" w:cs="宋体"/>
          <w:sz w:val="24"/>
          <w:szCs w:val="24"/>
          <w:u w:val="single"/>
        </w:rPr>
        <w:t xml:space="preserve">   /  </w:t>
      </w:r>
      <w:r>
        <w:rPr>
          <w:rFonts w:hint="eastAsia" w:ascii="宋体" w:hAnsi="宋体" w:eastAsia="宋体" w:cs="宋体"/>
          <w:sz w:val="24"/>
          <w:szCs w:val="24"/>
        </w:rPr>
        <w:t>仲裁委员会按照该会仲裁规则进行仲裁，仲裁裁决是终局的，对合同双方均有约束力。</w:t>
      </w:r>
    </w:p>
    <w:p>
      <w:pPr>
        <w:pStyle w:val="47"/>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（2）向</w:t>
      </w:r>
      <w:r>
        <w:rPr>
          <w:rFonts w:hint="eastAsia" w:ascii="宋体" w:hAnsi="宋体" w:eastAsia="宋体" w:cs="宋体"/>
          <w:sz w:val="24"/>
          <w:szCs w:val="24"/>
          <w:u w:val="single"/>
        </w:rPr>
        <w:t>工程所在地</w:t>
      </w:r>
      <w:r>
        <w:rPr>
          <w:rFonts w:hint="eastAsia" w:ascii="宋体" w:hAnsi="宋体" w:eastAsia="宋体" w:cs="宋体"/>
          <w:sz w:val="24"/>
          <w:szCs w:val="24"/>
        </w:rPr>
        <w:t>人民法院起诉。</w:t>
      </w:r>
    </w:p>
    <w:p>
      <w:pPr>
        <w:pStyle w:val="46"/>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bookmarkStart w:id="1157" w:name="_Toc31440"/>
      <w:bookmarkStart w:id="1158" w:name="_Toc24591"/>
      <w:bookmarkStart w:id="1159" w:name="_Toc21128"/>
      <w:bookmarkStart w:id="1160" w:name="_Toc508111616"/>
      <w:bookmarkStart w:id="1161" w:name="_Toc29635"/>
      <w:bookmarkStart w:id="1162" w:name="_Toc4117"/>
      <w:bookmarkStart w:id="1163" w:name="_Toc20108"/>
      <w:bookmarkStart w:id="1164" w:name="_Toc23187"/>
      <w:bookmarkStart w:id="1165" w:name="_Toc459809203"/>
      <w:bookmarkStart w:id="1166" w:name="_Toc25749"/>
      <w:bookmarkStart w:id="1167" w:name="_Toc395382582"/>
      <w:bookmarkStart w:id="1168" w:name="_Toc14624"/>
      <w:r>
        <w:rPr>
          <w:rFonts w:hint="eastAsia" w:ascii="宋体" w:hAnsi="宋体" w:eastAsia="宋体" w:cs="宋体"/>
          <w:sz w:val="24"/>
          <w:szCs w:val="24"/>
        </w:rPr>
        <w:t>21. 补充条款</w:t>
      </w:r>
      <w:bookmarkEnd w:id="1157"/>
      <w:bookmarkEnd w:id="1158"/>
      <w:bookmarkEnd w:id="1159"/>
      <w:bookmarkEnd w:id="1160"/>
      <w:bookmarkEnd w:id="1161"/>
      <w:bookmarkEnd w:id="1162"/>
      <w:bookmarkEnd w:id="1163"/>
      <w:bookmarkEnd w:id="1164"/>
      <w:bookmarkEnd w:id="1165"/>
      <w:bookmarkEnd w:id="1166"/>
      <w:bookmarkEnd w:id="1167"/>
      <w:bookmarkEnd w:id="1168"/>
    </w:p>
    <w:p>
      <w:pPr>
        <w:pStyle w:val="47"/>
        <w:pageBreakBefore w:val="0"/>
        <w:widowControl w:val="0"/>
        <w:kinsoku/>
        <w:wordWrap/>
        <w:overflowPunct/>
        <w:topLinePunct w:val="0"/>
        <w:autoSpaceDE/>
        <w:autoSpaceDN/>
        <w:bidi w:val="0"/>
        <w:adjustRightInd/>
        <w:snapToGrid/>
        <w:spacing w:line="420" w:lineRule="exact"/>
        <w:textAlignment w:val="auto"/>
        <w:rPr>
          <w:rFonts w:ascii="Times New Roman" w:hAnsi="Times New Roman"/>
          <w:szCs w:val="21"/>
        </w:rPr>
      </w:pPr>
      <w:r>
        <w:rPr>
          <w:rFonts w:hint="eastAsia" w:ascii="宋体" w:hAnsi="宋体" w:eastAsia="宋体" w:cs="宋体"/>
          <w:sz w:val="24"/>
          <w:szCs w:val="24"/>
        </w:rPr>
        <w:t xml:space="preserve">    21.1禁止使用童工。</w:t>
      </w:r>
    </w:p>
    <w:p>
      <w:pPr>
        <w:pStyle w:val="47"/>
        <w:tabs>
          <w:tab w:val="left" w:pos="6480"/>
        </w:tabs>
        <w:spacing w:line="360" w:lineRule="auto"/>
        <w:jc w:val="left"/>
        <w:rPr>
          <w:rFonts w:ascii="Times New Roman" w:hAnsi="Times New Roman" w:eastAsia="黑体"/>
          <w:b/>
          <w:sz w:val="28"/>
          <w:szCs w:val="28"/>
        </w:rPr>
      </w:pPr>
      <w:bookmarkStart w:id="1169" w:name="_Toc351203652"/>
      <w:r>
        <w:rPr>
          <w:rFonts w:ascii="Times New Roman" w:hAnsi="Times New Roman" w:eastAsia="黑体"/>
          <w:b/>
          <w:sz w:val="28"/>
          <w:szCs w:val="28"/>
        </w:rPr>
        <w:t>附件</w:t>
      </w:r>
      <w:bookmarkEnd w:id="1169"/>
    </w:p>
    <w:p>
      <w:pPr>
        <w:pStyle w:val="47"/>
        <w:tabs>
          <w:tab w:val="left" w:pos="6480"/>
        </w:tabs>
        <w:spacing w:line="360" w:lineRule="auto"/>
        <w:jc w:val="left"/>
        <w:rPr>
          <w:rFonts w:ascii="Times New Roman" w:hAnsi="Times New Roman"/>
          <w:szCs w:val="21"/>
        </w:rPr>
      </w:pPr>
      <w:r>
        <w:rPr>
          <w:rFonts w:ascii="Times New Roman" w:hAnsi="Times New Roman"/>
          <w:szCs w:val="21"/>
        </w:rPr>
        <w:t>附件1：承包人承揽工程项目一览表；</w:t>
      </w:r>
    </w:p>
    <w:p>
      <w:pPr>
        <w:pStyle w:val="47"/>
        <w:tabs>
          <w:tab w:val="left" w:pos="6480"/>
        </w:tabs>
        <w:spacing w:line="360" w:lineRule="auto"/>
        <w:jc w:val="left"/>
        <w:rPr>
          <w:rFonts w:ascii="Times New Roman" w:hAnsi="Times New Roman"/>
          <w:szCs w:val="21"/>
        </w:rPr>
      </w:pPr>
      <w:r>
        <w:rPr>
          <w:rFonts w:ascii="Times New Roman" w:hAnsi="Times New Roman"/>
          <w:szCs w:val="21"/>
        </w:rPr>
        <w:t>附件2：支付担保格式；</w:t>
      </w:r>
    </w:p>
    <w:p>
      <w:pPr>
        <w:pStyle w:val="47"/>
        <w:tabs>
          <w:tab w:val="left" w:pos="6480"/>
        </w:tabs>
        <w:spacing w:line="360" w:lineRule="auto"/>
        <w:jc w:val="left"/>
        <w:rPr>
          <w:rFonts w:ascii="Times New Roman" w:hAnsi="Times New Roman"/>
          <w:szCs w:val="21"/>
        </w:rPr>
      </w:pPr>
      <w:r>
        <w:rPr>
          <w:rFonts w:ascii="Times New Roman" w:hAnsi="Times New Roman"/>
          <w:szCs w:val="21"/>
        </w:rPr>
        <w:t>附件3：承包人主要施工管理人员表；</w:t>
      </w:r>
    </w:p>
    <w:p>
      <w:pPr>
        <w:pStyle w:val="47"/>
        <w:tabs>
          <w:tab w:val="left" w:pos="6480"/>
        </w:tabs>
        <w:spacing w:line="360" w:lineRule="auto"/>
        <w:jc w:val="left"/>
        <w:rPr>
          <w:rFonts w:ascii="Times New Roman" w:hAnsi="Times New Roman"/>
          <w:szCs w:val="21"/>
        </w:rPr>
      </w:pPr>
      <w:r>
        <w:rPr>
          <w:rFonts w:ascii="Times New Roman" w:hAnsi="Times New Roman"/>
          <w:szCs w:val="21"/>
        </w:rPr>
        <w:t>附件4：分包人主要施工管理人员表；</w:t>
      </w:r>
    </w:p>
    <w:p>
      <w:pPr>
        <w:pStyle w:val="47"/>
        <w:tabs>
          <w:tab w:val="left" w:pos="6480"/>
        </w:tabs>
        <w:spacing w:line="360" w:lineRule="auto"/>
        <w:jc w:val="left"/>
        <w:rPr>
          <w:rFonts w:ascii="Times New Roman" w:hAnsi="Times New Roman"/>
          <w:szCs w:val="21"/>
        </w:rPr>
      </w:pPr>
      <w:r>
        <w:rPr>
          <w:rFonts w:ascii="Times New Roman" w:hAnsi="Times New Roman"/>
          <w:szCs w:val="21"/>
        </w:rPr>
        <w:t>附件5：履约担保格式；</w:t>
      </w:r>
    </w:p>
    <w:p>
      <w:pPr>
        <w:pStyle w:val="47"/>
        <w:tabs>
          <w:tab w:val="left" w:pos="6480"/>
        </w:tabs>
        <w:spacing w:line="360" w:lineRule="auto"/>
        <w:jc w:val="left"/>
        <w:rPr>
          <w:rFonts w:ascii="Times New Roman" w:hAnsi="Times New Roman"/>
          <w:szCs w:val="21"/>
        </w:rPr>
      </w:pPr>
      <w:r>
        <w:rPr>
          <w:rFonts w:ascii="Times New Roman" w:hAnsi="Times New Roman"/>
          <w:szCs w:val="21"/>
        </w:rPr>
        <w:t>附件6：承包人用于本工程施工的机械设备表；</w:t>
      </w:r>
    </w:p>
    <w:p>
      <w:pPr>
        <w:pStyle w:val="47"/>
        <w:tabs>
          <w:tab w:val="left" w:pos="6480"/>
        </w:tabs>
        <w:spacing w:line="360" w:lineRule="auto"/>
        <w:jc w:val="left"/>
        <w:rPr>
          <w:rFonts w:ascii="Times New Roman" w:hAnsi="Times New Roman"/>
          <w:szCs w:val="21"/>
        </w:rPr>
      </w:pPr>
      <w:r>
        <w:rPr>
          <w:rFonts w:ascii="Times New Roman" w:hAnsi="Times New Roman"/>
          <w:szCs w:val="21"/>
        </w:rPr>
        <w:t>附件7：预付款担保格式；</w:t>
      </w:r>
    </w:p>
    <w:p>
      <w:pPr>
        <w:pStyle w:val="47"/>
        <w:tabs>
          <w:tab w:val="left" w:pos="6480"/>
        </w:tabs>
        <w:spacing w:line="360" w:lineRule="auto"/>
        <w:jc w:val="left"/>
        <w:rPr>
          <w:rFonts w:ascii="Times New Roman" w:hAnsi="Times New Roman"/>
          <w:szCs w:val="21"/>
        </w:rPr>
        <w:sectPr>
          <w:footerReference r:id="rId3" w:type="default"/>
          <w:footerReference r:id="rId4" w:type="even"/>
          <w:pgSz w:w="11907" w:h="16840"/>
          <w:pgMar w:top="2098" w:right="1474" w:bottom="1247" w:left="1587" w:header="851" w:footer="851" w:gutter="0"/>
          <w:cols w:space="720" w:num="1"/>
        </w:sectPr>
      </w:pPr>
      <w:r>
        <w:rPr>
          <w:rFonts w:ascii="Times New Roman" w:hAnsi="Times New Roman"/>
          <w:szCs w:val="21"/>
        </w:rPr>
        <w:t>附件8：工程质量保修书</w:t>
      </w:r>
      <w:r>
        <w:rPr>
          <w:rFonts w:hint="eastAsia" w:ascii="Times New Roman" w:hAnsi="Times New Roman"/>
          <w:szCs w:val="21"/>
        </w:rPr>
        <w:t>。</w:t>
      </w:r>
    </w:p>
    <w:p>
      <w:pPr>
        <w:pStyle w:val="47"/>
        <w:tabs>
          <w:tab w:val="left" w:pos="6480"/>
        </w:tabs>
        <w:spacing w:beforeLines="50" w:afterLines="50" w:line="440" w:lineRule="exact"/>
        <w:jc w:val="left"/>
        <w:rPr>
          <w:rFonts w:ascii="Times New Roman" w:hAnsi="Times New Roman" w:eastAsia="仿宋_GB2312"/>
          <w:sz w:val="30"/>
          <w:szCs w:val="30"/>
        </w:rPr>
      </w:pPr>
      <w:r>
        <w:rPr>
          <w:rFonts w:ascii="Times New Roman" w:hAnsi="Times New Roman" w:eastAsia="仿宋_GB2312"/>
          <w:sz w:val="30"/>
          <w:szCs w:val="30"/>
        </w:rPr>
        <w:t>附件1：</w:t>
      </w:r>
    </w:p>
    <w:p>
      <w:pPr>
        <w:pStyle w:val="47"/>
        <w:tabs>
          <w:tab w:val="left" w:pos="6480"/>
        </w:tabs>
        <w:spacing w:beforeLines="50" w:afterLines="50" w:line="440" w:lineRule="exact"/>
        <w:jc w:val="center"/>
        <w:rPr>
          <w:rFonts w:ascii="Times New Roman" w:hAnsi="Times New Roman" w:eastAsia="黑体"/>
          <w:sz w:val="30"/>
          <w:szCs w:val="30"/>
        </w:rPr>
      </w:pPr>
      <w:r>
        <w:rPr>
          <w:rFonts w:ascii="Times New Roman" w:hAnsi="Times New Roman" w:eastAsia="黑体"/>
          <w:sz w:val="30"/>
          <w:szCs w:val="30"/>
        </w:rPr>
        <w:t>承包人承揽工程项目一览表</w:t>
      </w:r>
    </w:p>
    <w:p>
      <w:pPr>
        <w:pStyle w:val="47"/>
        <w:tabs>
          <w:tab w:val="left" w:pos="6480"/>
        </w:tabs>
        <w:spacing w:beforeLines="50" w:afterLines="50" w:line="440" w:lineRule="exact"/>
        <w:jc w:val="center"/>
        <w:rPr>
          <w:rFonts w:ascii="Times New Roman" w:hAnsi="Times New Roman" w:eastAsia="黑体"/>
          <w:sz w:val="30"/>
          <w:szCs w:val="30"/>
        </w:rPr>
      </w:pPr>
    </w:p>
    <w:tbl>
      <w:tblPr>
        <w:tblStyle w:val="9"/>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330"/>
        <w:gridCol w:w="1560"/>
        <w:gridCol w:w="1417"/>
        <w:gridCol w:w="851"/>
        <w:gridCol w:w="850"/>
        <w:gridCol w:w="851"/>
        <w:gridCol w:w="1417"/>
        <w:gridCol w:w="183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33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单位工程名称</w:t>
            </w:r>
          </w:p>
        </w:tc>
        <w:tc>
          <w:tcPr>
            <w:tcW w:w="156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建设规模</w:t>
            </w:r>
          </w:p>
        </w:tc>
        <w:tc>
          <w:tcPr>
            <w:tcW w:w="1417"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建筑面积(平方米)</w:t>
            </w:r>
          </w:p>
        </w:tc>
        <w:tc>
          <w:tcPr>
            <w:tcW w:w="85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结构形式</w:t>
            </w:r>
          </w:p>
        </w:tc>
        <w:tc>
          <w:tcPr>
            <w:tcW w:w="85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层数</w:t>
            </w:r>
          </w:p>
        </w:tc>
        <w:tc>
          <w:tcPr>
            <w:tcW w:w="85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生产能力</w:t>
            </w:r>
          </w:p>
        </w:tc>
        <w:tc>
          <w:tcPr>
            <w:tcW w:w="1417"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设备安装内容</w:t>
            </w:r>
          </w:p>
        </w:tc>
        <w:tc>
          <w:tcPr>
            <w:tcW w:w="1838"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合同价格（元）</w:t>
            </w:r>
          </w:p>
        </w:tc>
        <w:tc>
          <w:tcPr>
            <w:tcW w:w="85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开工日期</w:t>
            </w:r>
          </w:p>
        </w:tc>
        <w:tc>
          <w:tcPr>
            <w:tcW w:w="85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28"/>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30" w:type="dxa"/>
            <w:vAlign w:val="center"/>
          </w:tcPr>
          <w:p>
            <w:pPr>
              <w:pStyle w:val="50"/>
              <w:keepNext/>
              <w:tabs>
                <w:tab w:val="left" w:pos="6480"/>
              </w:tabs>
              <w:spacing w:after="0" w:line="440" w:lineRule="exact"/>
              <w:ind w:left="63" w:right="63"/>
              <w:rPr>
                <w:rFonts w:eastAsia="仿宋_GB2312"/>
                <w:kern w:val="2"/>
                <w:sz w:val="30"/>
                <w:szCs w:val="30"/>
              </w:rPr>
            </w:pPr>
          </w:p>
        </w:tc>
        <w:tc>
          <w:tcPr>
            <w:tcW w:w="1560"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1417" w:type="dxa"/>
            <w:vAlign w:val="center"/>
          </w:tcPr>
          <w:p>
            <w:pPr>
              <w:pStyle w:val="50"/>
              <w:keepNext/>
              <w:tabs>
                <w:tab w:val="left" w:pos="6480"/>
              </w:tabs>
              <w:spacing w:after="0" w:line="440" w:lineRule="exact"/>
              <w:ind w:left="63" w:right="63"/>
              <w:rPr>
                <w:rFonts w:eastAsia="仿宋_GB2312"/>
                <w:kern w:val="2"/>
                <w:sz w:val="30"/>
                <w:szCs w:val="30"/>
              </w:rPr>
            </w:pPr>
          </w:p>
        </w:tc>
        <w:tc>
          <w:tcPr>
            <w:tcW w:w="1838" w:type="dxa"/>
            <w:vAlign w:val="center"/>
          </w:tcPr>
          <w:p>
            <w:pPr>
              <w:pStyle w:val="50"/>
              <w:keepNext/>
              <w:tabs>
                <w:tab w:val="left" w:pos="6480"/>
              </w:tabs>
              <w:spacing w:after="0" w:line="440" w:lineRule="exact"/>
              <w:ind w:left="63" w:right="63"/>
              <w:rPr>
                <w:rFonts w:eastAsia="仿宋_GB2312"/>
                <w:kern w:val="2"/>
                <w:sz w:val="30"/>
                <w:szCs w:val="30"/>
              </w:rPr>
            </w:pPr>
          </w:p>
        </w:tc>
        <w:tc>
          <w:tcPr>
            <w:tcW w:w="851" w:type="dxa"/>
            <w:vAlign w:val="center"/>
          </w:tcPr>
          <w:p>
            <w:pPr>
              <w:pStyle w:val="50"/>
              <w:keepNext/>
              <w:tabs>
                <w:tab w:val="left" w:pos="6480"/>
              </w:tabs>
              <w:spacing w:after="0" w:line="440" w:lineRule="exact"/>
              <w:ind w:left="63" w:right="63"/>
              <w:rPr>
                <w:rFonts w:eastAsia="仿宋_GB2312"/>
                <w:kern w:val="2"/>
                <w:sz w:val="30"/>
                <w:szCs w:val="30"/>
              </w:rPr>
            </w:pPr>
          </w:p>
        </w:tc>
        <w:tc>
          <w:tcPr>
            <w:tcW w:w="850" w:type="dxa"/>
            <w:vAlign w:val="center"/>
          </w:tcPr>
          <w:p>
            <w:pPr>
              <w:pStyle w:val="50"/>
              <w:keepNext/>
              <w:tabs>
                <w:tab w:val="left" w:pos="6480"/>
              </w:tabs>
              <w:spacing w:after="0" w:line="440" w:lineRule="exact"/>
              <w:ind w:left="63" w:right="63"/>
              <w:rPr>
                <w:rFonts w:eastAsia="仿宋_GB2312"/>
                <w:kern w:val="2"/>
                <w:sz w:val="30"/>
                <w:szCs w:val="30"/>
              </w:rPr>
            </w:pPr>
          </w:p>
        </w:tc>
      </w:tr>
    </w:tbl>
    <w:p>
      <w:pPr>
        <w:pStyle w:val="47"/>
        <w:tabs>
          <w:tab w:val="left" w:pos="6480"/>
        </w:tabs>
        <w:spacing w:line="460" w:lineRule="exact"/>
        <w:ind w:firstLine="420" w:firstLineChars="200"/>
        <w:rPr>
          <w:rFonts w:ascii="Times New Roman" w:hAnsi="Times New Roman"/>
          <w:szCs w:val="21"/>
        </w:rPr>
        <w:sectPr>
          <w:pgSz w:w="16840" w:h="11907" w:orient="landscape"/>
          <w:pgMar w:top="1797" w:right="1440" w:bottom="1440" w:left="1440" w:header="851" w:footer="851" w:gutter="0"/>
          <w:cols w:space="720" w:num="1"/>
        </w:sectPr>
      </w:pPr>
    </w:p>
    <w:p>
      <w:pPr>
        <w:pStyle w:val="47"/>
        <w:tabs>
          <w:tab w:val="left" w:pos="6480"/>
        </w:tabs>
        <w:spacing w:line="440" w:lineRule="exact"/>
        <w:rPr>
          <w:rFonts w:ascii="Times New Roman" w:hAnsi="Times New Roman" w:eastAsia="黑体"/>
          <w:sz w:val="30"/>
          <w:szCs w:val="30"/>
        </w:rPr>
      </w:pPr>
      <w:r>
        <w:rPr>
          <w:rFonts w:ascii="Times New Roman" w:hAnsi="Times New Roman" w:eastAsia="仿宋_GB2312"/>
          <w:sz w:val="30"/>
          <w:szCs w:val="30"/>
        </w:rPr>
        <w:t>附</w:t>
      </w:r>
      <w:bookmarkStart w:id="1170" w:name="_Toc296891061"/>
      <w:bookmarkStart w:id="1171" w:name="_Toc296891273"/>
      <w:bookmarkStart w:id="1172" w:name="_Toc296346734"/>
      <w:bookmarkStart w:id="1173" w:name="_Toc296944572"/>
      <w:bookmarkStart w:id="1174" w:name="_Toc296347232"/>
      <w:bookmarkStart w:id="1175" w:name="_Toc296503233"/>
      <w:r>
        <w:rPr>
          <w:rFonts w:ascii="Times New Roman" w:hAnsi="Times New Roman" w:eastAsia="仿宋_GB2312"/>
          <w:sz w:val="30"/>
          <w:szCs w:val="30"/>
        </w:rPr>
        <w:t>件2：</w:t>
      </w:r>
    </w:p>
    <w:bookmarkEnd w:id="1170"/>
    <w:bookmarkEnd w:id="1171"/>
    <w:bookmarkEnd w:id="1172"/>
    <w:bookmarkEnd w:id="1173"/>
    <w:bookmarkEnd w:id="1174"/>
    <w:bookmarkEnd w:id="1175"/>
    <w:p>
      <w:pPr>
        <w:pStyle w:val="47"/>
        <w:tabs>
          <w:tab w:val="left" w:pos="6480"/>
        </w:tabs>
        <w:spacing w:beforeLines="50" w:afterLines="50" w:line="400" w:lineRule="exact"/>
        <w:jc w:val="center"/>
        <w:rPr>
          <w:rFonts w:ascii="Times New Roman" w:hAnsi="Times New Roman" w:eastAsia="黑体"/>
          <w:sz w:val="30"/>
          <w:szCs w:val="30"/>
        </w:rPr>
      </w:pPr>
      <w:r>
        <w:rPr>
          <w:rFonts w:ascii="Times New Roman" w:hAnsi="Times New Roman" w:eastAsia="黑体"/>
          <w:sz w:val="30"/>
          <w:szCs w:val="30"/>
        </w:rPr>
        <w:t>支付担保</w:t>
      </w:r>
    </w:p>
    <w:p>
      <w:pPr>
        <w:pStyle w:val="47"/>
        <w:tabs>
          <w:tab w:val="left" w:pos="6480"/>
        </w:tabs>
        <w:spacing w:beforeLines="50" w:afterLines="50" w:line="400" w:lineRule="exact"/>
        <w:jc w:val="center"/>
        <w:rPr>
          <w:rFonts w:ascii="Times New Roman" w:hAnsi="Times New Roman" w:eastAsia="黑体"/>
          <w:sz w:val="30"/>
          <w:szCs w:val="30"/>
        </w:rPr>
      </w:pPr>
    </w:p>
    <w:p>
      <w:pPr>
        <w:pStyle w:val="47"/>
        <w:tabs>
          <w:tab w:val="left" w:pos="6480"/>
        </w:tabs>
        <w:spacing w:line="400" w:lineRule="exact"/>
        <w:jc w:val="left"/>
        <w:rPr>
          <w:rFonts w:ascii="Times New Roman" w:hAnsi="Times New Roman"/>
          <w:szCs w:val="21"/>
        </w:rPr>
      </w:pPr>
      <w:r>
        <w:rPr>
          <w:rFonts w:ascii="Times New Roman" w:hAnsi="Times New Roman"/>
          <w:szCs w:val="21"/>
          <w:u w:val="single"/>
        </w:rPr>
        <w:t xml:space="preserve">              /       </w:t>
      </w:r>
      <w:r>
        <w:rPr>
          <w:rFonts w:ascii="Times New Roman" w:hAnsi="Times New Roman"/>
          <w:szCs w:val="21"/>
        </w:rPr>
        <w:t>（承包人）：</w:t>
      </w:r>
    </w:p>
    <w:p>
      <w:pPr>
        <w:pStyle w:val="47"/>
        <w:tabs>
          <w:tab w:val="left" w:pos="6480"/>
        </w:tabs>
        <w:spacing w:line="400" w:lineRule="exact"/>
        <w:jc w:val="left"/>
        <w:rPr>
          <w:rFonts w:ascii="Times New Roman" w:hAnsi="Times New Roman"/>
          <w:szCs w:val="21"/>
        </w:rPr>
      </w:pP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鉴于你方作为承包人已经与</w:t>
      </w:r>
      <w:r>
        <w:rPr>
          <w:rFonts w:ascii="Times New Roman" w:hAnsi="Times New Roman"/>
          <w:szCs w:val="21"/>
          <w:u w:val="single"/>
        </w:rPr>
        <w:t xml:space="preserve">     /      </w:t>
      </w:r>
      <w:r>
        <w:rPr>
          <w:rFonts w:ascii="Times New Roman" w:hAnsi="Times New Roman"/>
          <w:szCs w:val="21"/>
        </w:rPr>
        <w:t>（发包人名称）（以下称“发包人”）于年月日签订了</w:t>
      </w:r>
      <w:r>
        <w:rPr>
          <w:rFonts w:ascii="Times New Roman" w:hAnsi="Times New Roman"/>
          <w:szCs w:val="21"/>
          <w:u w:val="single"/>
        </w:rPr>
        <w:t xml:space="preserve">            /              </w:t>
      </w:r>
      <w:r>
        <w:rPr>
          <w:rFonts w:ascii="Times New Roman" w:hAnsi="Times New Roman"/>
          <w:szCs w:val="21"/>
        </w:rPr>
        <w:t>（工程名称）《建设工程施工合同》（以下称“主合同”），应发包人的申请，我方愿就发包人履行主合同约定的工程款支付义务以保证的方式向你方提供如下担保：</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一、保证的范围及保证金额</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1. 我方的保证范围是主合同约定的工程款。</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2. 本保函所称主合同约定的工程款是指主合同约定的除工程质量保证金以外的合同价款。</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3. 我方保证的金额是主合同约定的工程款的%，数额最高不超过人民币元（大写：）。</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二、保证的方式及保证期间</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1. 我方保证的方式为：连带责任保证。</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2. 我方保证的期间为：自本合同生效之日起至主合同约定的工程款支付完毕之日后日内。</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3. 你方与发包人协议变更工程款支付日期的，经我方书面同意后，保证期间按照变更后的支付日期做相应调整。</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三、承担保证责任的形式</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我方承担保证责任的形式是代为支付。发包人未按主合同约定向你方支付工程款的，由我方在保证金额内代为支付。</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四、代偿的安排</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1. 你方要求我方承担保证责任的，应向我方发出书面索赔通知及发包人未支付主合同约定工程款的证明材料。索赔通知应写明要求索赔的金额，支付款项应到达的账号。</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3. 我方收到你方的书面索赔通知及相应的证明材料后７天内无条件支付。</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五、保证责任的解除</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1. 在本保函承诺的保证期间内，你方未书面向我方主张保证责任的，自保证期间届满次日起，我方保证责任解除。</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2. 发包人按主合同约定履行了工程款的全部支付义务的，自本保函承诺的保证期间届满次日起，我方保证责任解除。</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3. 我方按照本保函向你方履行保证责任所支付金额达到本保函保证金额时，自我方向你方支付（支付款项从我方账户划出）之日起，保证责任即解除。</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4. 按照法律法规的规定或出现应解除我方保证责任的其他情形的，我方在本保函项下的保证责任亦解除。</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5. 我方解除保证责任后，你方应自我方保证责任解除之日起个工作日内，将本保函原件返还我方。</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六、免责条款</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1. 因你方违约致使发包人不能履行义务的，我方不承担保证责任。</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2. 依照法律法规的规定或你方与发包人的另行约定，免除发包人部分或全部义务的，我方亦免除其相应的保证责任。</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4. 因不可抗力造成发包人不能履行义务的，我方不承担保证责任。</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七、争议解决</w:t>
      </w:r>
    </w:p>
    <w:p>
      <w:pPr>
        <w:pStyle w:val="47"/>
        <w:tabs>
          <w:tab w:val="left" w:pos="6480"/>
        </w:tabs>
        <w:spacing w:line="400" w:lineRule="exact"/>
        <w:ind w:firstLine="420" w:firstLineChars="200"/>
        <w:rPr>
          <w:rFonts w:ascii="Times New Roman" w:hAnsi="Times New Roman"/>
          <w:szCs w:val="21"/>
        </w:rPr>
      </w:pPr>
      <w:r>
        <w:rPr>
          <w:rFonts w:ascii="Times New Roman" w:hAnsi="Times New Roman"/>
          <w:szCs w:val="21"/>
        </w:rPr>
        <w:t>因本保函或本保函相关事项发生的纠纷，可由双方协商解决，协商不成的，按下列第种方式解决：</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（1）向仲裁委员会申请仲裁；</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（2）向人民法院起诉。</w:t>
      </w:r>
    </w:p>
    <w:p>
      <w:pPr>
        <w:pStyle w:val="47"/>
        <w:tabs>
          <w:tab w:val="left" w:pos="6480"/>
        </w:tabs>
        <w:spacing w:line="400" w:lineRule="exact"/>
        <w:ind w:firstLine="420" w:firstLineChars="200"/>
        <w:jc w:val="left"/>
        <w:rPr>
          <w:rFonts w:ascii="Times New Roman" w:hAnsi="Times New Roman" w:eastAsia="黑体"/>
          <w:szCs w:val="21"/>
        </w:rPr>
      </w:pPr>
      <w:r>
        <w:rPr>
          <w:rFonts w:ascii="Times New Roman" w:hAnsi="Times New Roman" w:eastAsia="黑体"/>
          <w:szCs w:val="21"/>
        </w:rPr>
        <w:t>八、保函的生效</w:t>
      </w:r>
    </w:p>
    <w:p>
      <w:pPr>
        <w:pStyle w:val="47"/>
        <w:tabs>
          <w:tab w:val="left" w:pos="6480"/>
        </w:tabs>
        <w:spacing w:line="400" w:lineRule="exact"/>
        <w:ind w:firstLine="420" w:firstLineChars="200"/>
        <w:jc w:val="left"/>
        <w:rPr>
          <w:rFonts w:ascii="Times New Roman" w:hAnsi="Times New Roman"/>
          <w:szCs w:val="21"/>
        </w:rPr>
      </w:pPr>
      <w:r>
        <w:rPr>
          <w:rFonts w:ascii="Times New Roman" w:hAnsi="Times New Roman"/>
          <w:szCs w:val="21"/>
        </w:rPr>
        <w:t>本保函自我方法定代表人（或其授权代理人）签字并加盖公章之日起生效。</w:t>
      </w:r>
    </w:p>
    <w:p>
      <w:pPr>
        <w:pStyle w:val="47"/>
        <w:tabs>
          <w:tab w:val="left" w:pos="6480"/>
        </w:tabs>
        <w:spacing w:line="400" w:lineRule="exact"/>
        <w:jc w:val="left"/>
        <w:rPr>
          <w:rFonts w:ascii="Times New Roman" w:hAnsi="Times New Roman"/>
          <w:szCs w:val="21"/>
        </w:rPr>
      </w:pPr>
    </w:p>
    <w:p>
      <w:pPr>
        <w:pStyle w:val="47"/>
        <w:tabs>
          <w:tab w:val="left" w:pos="6480"/>
        </w:tabs>
        <w:spacing w:line="400" w:lineRule="exact"/>
        <w:ind w:right="600"/>
        <w:jc w:val="left"/>
        <w:rPr>
          <w:rFonts w:ascii="Times New Roman" w:hAnsi="Times New Roman"/>
          <w:szCs w:val="21"/>
        </w:rPr>
      </w:pPr>
    </w:p>
    <w:p>
      <w:pPr>
        <w:pStyle w:val="47"/>
        <w:tabs>
          <w:tab w:val="left" w:pos="6480"/>
        </w:tabs>
        <w:spacing w:line="400" w:lineRule="exact"/>
        <w:ind w:right="600"/>
        <w:jc w:val="left"/>
        <w:rPr>
          <w:rFonts w:ascii="Times New Roman" w:hAnsi="Times New Roman"/>
          <w:szCs w:val="21"/>
        </w:rPr>
      </w:pPr>
      <w:r>
        <w:rPr>
          <w:rFonts w:ascii="Times New Roman" w:hAnsi="Times New Roman"/>
          <w:szCs w:val="21"/>
        </w:rPr>
        <w:t>担保人：</w:t>
      </w:r>
      <w:r>
        <w:rPr>
          <w:rFonts w:ascii="Times New Roman" w:hAnsi="Times New Roman"/>
          <w:szCs w:val="21"/>
          <w:u w:val="single"/>
        </w:rPr>
        <w:t xml:space="preserve">                /                   </w:t>
      </w:r>
      <w:r>
        <w:rPr>
          <w:rFonts w:ascii="Times New Roman" w:hAnsi="Times New Roman"/>
          <w:szCs w:val="21"/>
        </w:rPr>
        <w:t>（盖章）</w:t>
      </w:r>
    </w:p>
    <w:p>
      <w:pPr>
        <w:pStyle w:val="47"/>
        <w:tabs>
          <w:tab w:val="left" w:pos="6480"/>
        </w:tabs>
        <w:spacing w:line="400" w:lineRule="exact"/>
        <w:ind w:right="1200"/>
        <w:rPr>
          <w:rFonts w:ascii="Times New Roman" w:hAnsi="Times New Roman"/>
          <w:szCs w:val="21"/>
        </w:rPr>
      </w:pPr>
      <w:r>
        <w:rPr>
          <w:rFonts w:ascii="Times New Roman" w:hAnsi="Times New Roman"/>
          <w:szCs w:val="21"/>
        </w:rPr>
        <w:t>法定代表人或委托代理人：</w:t>
      </w:r>
      <w:r>
        <w:rPr>
          <w:rFonts w:ascii="Times New Roman" w:hAnsi="Times New Roman"/>
          <w:szCs w:val="21"/>
          <w:u w:val="single"/>
        </w:rPr>
        <w:t xml:space="preserve">      /             </w:t>
      </w:r>
      <w:r>
        <w:rPr>
          <w:rFonts w:ascii="Times New Roman" w:hAnsi="Times New Roman"/>
          <w:szCs w:val="21"/>
        </w:rPr>
        <w:t>（签字）</w:t>
      </w:r>
    </w:p>
    <w:p>
      <w:pPr>
        <w:pStyle w:val="47"/>
        <w:tabs>
          <w:tab w:val="left" w:pos="6480"/>
        </w:tabs>
        <w:spacing w:line="400" w:lineRule="exact"/>
        <w:jc w:val="left"/>
        <w:rPr>
          <w:rFonts w:ascii="Times New Roman" w:hAnsi="Times New Roman"/>
          <w:szCs w:val="21"/>
        </w:rPr>
      </w:pPr>
      <w:r>
        <w:rPr>
          <w:rFonts w:ascii="Times New Roman" w:hAnsi="Times New Roman"/>
          <w:szCs w:val="21"/>
        </w:rPr>
        <w:t>地    址：</w:t>
      </w:r>
    </w:p>
    <w:p>
      <w:pPr>
        <w:pStyle w:val="47"/>
        <w:tabs>
          <w:tab w:val="left" w:pos="6480"/>
        </w:tabs>
        <w:spacing w:line="400" w:lineRule="exact"/>
        <w:jc w:val="left"/>
        <w:rPr>
          <w:rFonts w:ascii="Times New Roman" w:hAnsi="Times New Roman"/>
          <w:szCs w:val="21"/>
        </w:rPr>
      </w:pPr>
      <w:r>
        <w:rPr>
          <w:rFonts w:ascii="Times New Roman" w:hAnsi="Times New Roman"/>
          <w:szCs w:val="21"/>
        </w:rPr>
        <w:t>邮政编码：</w:t>
      </w:r>
    </w:p>
    <w:p>
      <w:pPr>
        <w:pStyle w:val="47"/>
        <w:tabs>
          <w:tab w:val="left" w:pos="6480"/>
        </w:tabs>
        <w:spacing w:line="400" w:lineRule="exact"/>
        <w:jc w:val="left"/>
        <w:rPr>
          <w:rFonts w:ascii="Times New Roman" w:hAnsi="Times New Roman"/>
          <w:szCs w:val="21"/>
        </w:rPr>
      </w:pPr>
      <w:r>
        <w:rPr>
          <w:rFonts w:ascii="Times New Roman" w:hAnsi="Times New Roman"/>
          <w:szCs w:val="21"/>
        </w:rPr>
        <w:t>传    真：</w:t>
      </w:r>
    </w:p>
    <w:p>
      <w:pPr>
        <w:pStyle w:val="47"/>
        <w:tabs>
          <w:tab w:val="left" w:pos="6480"/>
        </w:tabs>
        <w:spacing w:line="400" w:lineRule="exact"/>
        <w:ind w:right="150" w:firstLine="420" w:firstLineChars="200"/>
        <w:jc w:val="left"/>
        <w:rPr>
          <w:rFonts w:ascii="Times New Roman" w:hAnsi="Times New Roman"/>
          <w:szCs w:val="21"/>
          <w:u w:val="single"/>
        </w:rPr>
      </w:pPr>
    </w:p>
    <w:p>
      <w:pPr>
        <w:pStyle w:val="47"/>
        <w:tabs>
          <w:tab w:val="left" w:pos="6480"/>
        </w:tabs>
        <w:spacing w:line="400" w:lineRule="exact"/>
        <w:ind w:right="150" w:firstLine="420" w:firstLineChars="200"/>
        <w:jc w:val="left"/>
        <w:rPr>
          <w:rFonts w:ascii="Times New Roman" w:hAnsi="Times New Roman"/>
          <w:szCs w:val="21"/>
        </w:rPr>
      </w:pPr>
      <w:r>
        <w:rPr>
          <w:rFonts w:ascii="Times New Roman" w:hAnsi="Times New Roman"/>
          <w:szCs w:val="21"/>
        </w:rPr>
        <w:t>年月日</w:t>
      </w:r>
    </w:p>
    <w:p>
      <w:pPr>
        <w:pStyle w:val="47"/>
        <w:tabs>
          <w:tab w:val="left" w:pos="6480"/>
        </w:tabs>
        <w:spacing w:line="400" w:lineRule="exact"/>
        <w:rPr>
          <w:rFonts w:ascii="Times New Roman" w:hAnsi="Times New Roman" w:eastAsia="仿宋_GB2312"/>
          <w:sz w:val="30"/>
          <w:szCs w:val="30"/>
        </w:rPr>
      </w:pPr>
    </w:p>
    <w:p>
      <w:pPr>
        <w:pStyle w:val="47"/>
        <w:tabs>
          <w:tab w:val="left" w:pos="6480"/>
        </w:tabs>
        <w:spacing w:line="440" w:lineRule="exact"/>
        <w:rPr>
          <w:rFonts w:ascii="Times New Roman" w:hAnsi="Times New Roman" w:eastAsia="仿宋_GB2312"/>
          <w:sz w:val="30"/>
          <w:szCs w:val="30"/>
        </w:rPr>
      </w:pPr>
    </w:p>
    <w:p>
      <w:pPr>
        <w:pStyle w:val="47"/>
        <w:tabs>
          <w:tab w:val="left" w:pos="6480"/>
        </w:tabs>
        <w:spacing w:line="440" w:lineRule="exact"/>
        <w:rPr>
          <w:rFonts w:ascii="Times New Roman" w:hAnsi="Times New Roman" w:eastAsia="黑体"/>
          <w:sz w:val="30"/>
          <w:szCs w:val="30"/>
        </w:rPr>
      </w:pPr>
      <w:r>
        <w:rPr>
          <w:rFonts w:ascii="Times New Roman" w:hAnsi="Times New Roman" w:eastAsia="仿宋_GB2312"/>
          <w:sz w:val="30"/>
          <w:szCs w:val="30"/>
        </w:rPr>
        <w:t>附</w:t>
      </w:r>
      <w:bookmarkStart w:id="1176" w:name="_Toc296891268"/>
      <w:bookmarkStart w:id="1177" w:name="_Toc296891056"/>
      <w:bookmarkStart w:id="1178" w:name="_Toc296347227"/>
      <w:bookmarkStart w:id="1179" w:name="_Toc296944567"/>
      <w:bookmarkStart w:id="1180" w:name="_Toc296346729"/>
      <w:bookmarkStart w:id="1181" w:name="_Toc296503228"/>
      <w:bookmarkStart w:id="1182" w:name="_Toc267261699"/>
      <w:r>
        <w:rPr>
          <w:rFonts w:ascii="Times New Roman" w:hAnsi="Times New Roman" w:eastAsia="仿宋_GB2312"/>
          <w:sz w:val="30"/>
          <w:szCs w:val="30"/>
        </w:rPr>
        <w:t>件3：</w:t>
      </w:r>
    </w:p>
    <w:bookmarkEnd w:id="1176"/>
    <w:bookmarkEnd w:id="1177"/>
    <w:bookmarkEnd w:id="1178"/>
    <w:bookmarkEnd w:id="1179"/>
    <w:bookmarkEnd w:id="1180"/>
    <w:bookmarkEnd w:id="1181"/>
    <w:bookmarkEnd w:id="1182"/>
    <w:p>
      <w:pPr>
        <w:pStyle w:val="47"/>
        <w:tabs>
          <w:tab w:val="left" w:pos="6480"/>
        </w:tabs>
        <w:spacing w:beforeLines="50" w:afterLines="50" w:line="440" w:lineRule="exact"/>
        <w:jc w:val="center"/>
        <w:rPr>
          <w:rFonts w:ascii="Times New Roman" w:hAnsi="Times New Roman" w:eastAsia="黑体"/>
          <w:sz w:val="30"/>
          <w:szCs w:val="30"/>
        </w:rPr>
      </w:pPr>
      <w:r>
        <w:rPr>
          <w:rFonts w:ascii="Times New Roman" w:hAnsi="Times New Roman" w:eastAsia="黑体"/>
          <w:sz w:val="30"/>
          <w:szCs w:val="30"/>
        </w:rPr>
        <w:t>承包人主要施工管理人员表</w:t>
      </w:r>
    </w:p>
    <w:tbl>
      <w:tblPr>
        <w:tblStyle w:val="9"/>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251"/>
        <w:gridCol w:w="1984"/>
        <w:gridCol w:w="1843"/>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名    称</w:t>
            </w:r>
          </w:p>
        </w:tc>
        <w:tc>
          <w:tcPr>
            <w:tcW w:w="125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姓名</w:t>
            </w:r>
          </w:p>
        </w:tc>
        <w:tc>
          <w:tcPr>
            <w:tcW w:w="1984" w:type="dxa"/>
            <w:vAlign w:val="center"/>
          </w:tcPr>
          <w:p>
            <w:pPr>
              <w:pStyle w:val="50"/>
              <w:keepNext/>
              <w:tabs>
                <w:tab w:val="left" w:pos="6480"/>
              </w:tabs>
              <w:spacing w:after="0" w:line="440" w:lineRule="exact"/>
              <w:ind w:left="63" w:right="63"/>
              <w:rPr>
                <w:rFonts w:eastAsia="仿宋_GB2312"/>
                <w:kern w:val="2"/>
                <w:sz w:val="30"/>
                <w:szCs w:val="30"/>
              </w:rPr>
            </w:pPr>
            <w:r>
              <w:rPr>
                <w:rFonts w:eastAsia="仿宋_GB2312"/>
                <w:kern w:val="2"/>
                <w:sz w:val="30"/>
                <w:szCs w:val="30"/>
              </w:rPr>
              <w:t>职务</w:t>
            </w:r>
          </w:p>
        </w:tc>
        <w:tc>
          <w:tcPr>
            <w:tcW w:w="1843" w:type="dxa"/>
            <w:vAlign w:val="center"/>
          </w:tcPr>
          <w:p>
            <w:pPr>
              <w:pStyle w:val="50"/>
              <w:keepNext/>
              <w:tabs>
                <w:tab w:val="left" w:pos="6480"/>
              </w:tabs>
              <w:spacing w:after="0" w:line="440" w:lineRule="exact"/>
              <w:ind w:left="63" w:right="63"/>
              <w:rPr>
                <w:rFonts w:eastAsia="仿宋_GB2312"/>
                <w:kern w:val="2"/>
                <w:sz w:val="30"/>
                <w:szCs w:val="30"/>
              </w:rPr>
            </w:pPr>
            <w:r>
              <w:rPr>
                <w:rFonts w:eastAsia="仿宋_GB2312"/>
                <w:kern w:val="2"/>
                <w:sz w:val="30"/>
                <w:szCs w:val="30"/>
              </w:rPr>
              <w:t>职称</w:t>
            </w:r>
          </w:p>
        </w:tc>
        <w:tc>
          <w:tcPr>
            <w:tcW w:w="2860" w:type="dxa"/>
            <w:vAlign w:val="center"/>
          </w:tcPr>
          <w:p>
            <w:pPr>
              <w:pStyle w:val="50"/>
              <w:keepNext/>
              <w:tabs>
                <w:tab w:val="left" w:pos="6480"/>
              </w:tabs>
              <w:spacing w:after="0" w:line="440" w:lineRule="exact"/>
              <w:ind w:left="0" w:leftChars="0" w:right="63"/>
              <w:rPr>
                <w:rFonts w:eastAsia="仿宋_GB2312"/>
                <w:kern w:val="2"/>
                <w:sz w:val="30"/>
                <w:szCs w:val="30"/>
              </w:rPr>
            </w:pPr>
            <w:r>
              <w:rPr>
                <w:rFonts w:eastAsia="仿宋_GB2312"/>
                <w:kern w:val="2"/>
                <w:sz w:val="30"/>
                <w:szCs w:val="30"/>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项目主管</w:t>
            </w:r>
          </w:p>
        </w:tc>
        <w:tc>
          <w:tcPr>
            <w:tcW w:w="1251" w:type="dxa"/>
            <w:vAlign w:val="center"/>
          </w:tcPr>
          <w:p>
            <w:pPr>
              <w:pStyle w:val="50"/>
              <w:keepNext/>
              <w:tabs>
                <w:tab w:val="left" w:pos="6480"/>
              </w:tabs>
              <w:spacing w:after="0" w:line="440" w:lineRule="exact"/>
              <w:ind w:left="63" w:right="63"/>
              <w:rPr>
                <w:rFonts w:eastAsia="仿宋_GB2312"/>
                <w:kern w:val="2"/>
                <w:sz w:val="28"/>
                <w:szCs w:val="30"/>
              </w:rPr>
            </w:pPr>
            <w:r>
              <w:rPr>
                <w:rFonts w:hint="eastAsia" w:eastAsia="仿宋_GB2312"/>
                <w:kern w:val="2"/>
                <w:sz w:val="28"/>
                <w:szCs w:val="30"/>
              </w:rPr>
              <w:t>/</w:t>
            </w: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50"/>
              <w:keepNext/>
              <w:tabs>
                <w:tab w:val="left" w:pos="6480"/>
              </w:tabs>
              <w:spacing w:line="440" w:lineRule="exact"/>
              <w:ind w:left="63" w:right="63"/>
              <w:rPr>
                <w:rFonts w:eastAsia="仿宋_GB2312"/>
                <w:kern w:val="2"/>
                <w:sz w:val="28"/>
                <w:szCs w:val="30"/>
              </w:rPr>
            </w:pPr>
            <w:r>
              <w:rPr>
                <w:rFonts w:eastAsia="仿宋_GB2312"/>
                <w:kern w:val="2"/>
                <w:sz w:val="28"/>
                <w:szCs w:val="30"/>
              </w:rPr>
              <w:t>其他人员</w:t>
            </w:r>
          </w:p>
        </w:tc>
        <w:tc>
          <w:tcPr>
            <w:tcW w:w="1251" w:type="dxa"/>
            <w:vAlign w:val="center"/>
          </w:tcPr>
          <w:p>
            <w:pPr>
              <w:pStyle w:val="50"/>
              <w:keepNext/>
              <w:tabs>
                <w:tab w:val="left" w:pos="6480"/>
              </w:tabs>
              <w:spacing w:after="0" w:line="440" w:lineRule="exact"/>
              <w:ind w:left="63" w:right="63"/>
              <w:rPr>
                <w:rFonts w:eastAsia="仿宋_GB2312"/>
                <w:kern w:val="2"/>
                <w:sz w:val="28"/>
                <w:szCs w:val="30"/>
              </w:rPr>
            </w:pPr>
            <w:r>
              <w:rPr>
                <w:rFonts w:hint="eastAsia" w:eastAsia="仿宋_GB2312"/>
                <w:kern w:val="2"/>
                <w:sz w:val="28"/>
                <w:szCs w:val="30"/>
              </w:rPr>
              <w:t>/</w:t>
            </w: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28"/>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28"/>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项目经理</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项目副经理</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技术负责人</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造价管理</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50"/>
              <w:keepNext/>
              <w:tabs>
                <w:tab w:val="left" w:pos="6480"/>
              </w:tabs>
              <w:spacing w:line="440" w:lineRule="exact"/>
              <w:ind w:left="63" w:right="63"/>
              <w:rPr>
                <w:rFonts w:eastAsia="仿宋_GB2312"/>
                <w:kern w:val="2"/>
                <w:sz w:val="28"/>
                <w:szCs w:val="30"/>
              </w:rPr>
            </w:pPr>
            <w:r>
              <w:rPr>
                <w:rFonts w:eastAsia="仿宋_GB2312"/>
                <w:kern w:val="2"/>
                <w:sz w:val="28"/>
                <w:szCs w:val="30"/>
              </w:rPr>
              <w:t>质量管理</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材料管理</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计划管理</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50"/>
              <w:keepNext/>
              <w:tabs>
                <w:tab w:val="left" w:pos="6480"/>
              </w:tabs>
              <w:spacing w:line="440" w:lineRule="exact"/>
              <w:ind w:left="63" w:right="63"/>
              <w:rPr>
                <w:rFonts w:eastAsia="仿宋_GB2312"/>
                <w:kern w:val="2"/>
                <w:sz w:val="28"/>
                <w:szCs w:val="30"/>
              </w:rPr>
            </w:pPr>
            <w:r>
              <w:rPr>
                <w:rFonts w:eastAsia="仿宋_GB2312"/>
                <w:kern w:val="2"/>
                <w:sz w:val="28"/>
                <w:szCs w:val="30"/>
              </w:rPr>
              <w:t>安全管理</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其他人员</w:t>
            </w: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30"/>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28"/>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28"/>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251" w:type="dxa"/>
            <w:vAlign w:val="center"/>
          </w:tcPr>
          <w:p>
            <w:pPr>
              <w:pStyle w:val="50"/>
              <w:keepNext/>
              <w:tabs>
                <w:tab w:val="left" w:pos="6480"/>
              </w:tabs>
              <w:spacing w:after="0" w:line="440" w:lineRule="exact"/>
              <w:ind w:left="63" w:right="63"/>
              <w:rPr>
                <w:rFonts w:eastAsia="仿宋_GB2312"/>
                <w:kern w:val="2"/>
                <w:sz w:val="28"/>
                <w:szCs w:val="30"/>
              </w:rPr>
            </w:pPr>
          </w:p>
        </w:tc>
        <w:tc>
          <w:tcPr>
            <w:tcW w:w="1984" w:type="dxa"/>
            <w:vAlign w:val="center"/>
          </w:tcPr>
          <w:p>
            <w:pPr>
              <w:pStyle w:val="50"/>
              <w:keepNext/>
              <w:tabs>
                <w:tab w:val="left" w:pos="6480"/>
              </w:tabs>
              <w:spacing w:after="0" w:line="440" w:lineRule="exact"/>
              <w:ind w:left="63" w:right="63"/>
              <w:rPr>
                <w:rFonts w:eastAsia="仿宋_GB2312"/>
                <w:kern w:val="2"/>
                <w:sz w:val="30"/>
                <w:szCs w:val="30"/>
              </w:rPr>
            </w:pPr>
          </w:p>
        </w:tc>
        <w:tc>
          <w:tcPr>
            <w:tcW w:w="1843" w:type="dxa"/>
            <w:vAlign w:val="center"/>
          </w:tcPr>
          <w:p>
            <w:pPr>
              <w:pStyle w:val="50"/>
              <w:keepNext/>
              <w:tabs>
                <w:tab w:val="left" w:pos="6480"/>
              </w:tabs>
              <w:spacing w:after="0" w:line="440" w:lineRule="exact"/>
              <w:ind w:left="63" w:right="63"/>
              <w:rPr>
                <w:rFonts w:eastAsia="仿宋_GB2312"/>
                <w:kern w:val="2"/>
                <w:sz w:val="30"/>
                <w:szCs w:val="30"/>
              </w:rPr>
            </w:pPr>
          </w:p>
        </w:tc>
        <w:tc>
          <w:tcPr>
            <w:tcW w:w="2860" w:type="dxa"/>
            <w:vAlign w:val="center"/>
          </w:tcPr>
          <w:p>
            <w:pPr>
              <w:pStyle w:val="50"/>
              <w:keepNext/>
              <w:tabs>
                <w:tab w:val="left" w:pos="6480"/>
              </w:tabs>
              <w:spacing w:after="0" w:line="440" w:lineRule="exact"/>
              <w:ind w:left="63" w:right="63"/>
              <w:rPr>
                <w:rFonts w:eastAsia="仿宋_GB2312"/>
                <w:kern w:val="2"/>
                <w:sz w:val="30"/>
                <w:szCs w:val="30"/>
              </w:rPr>
            </w:pPr>
          </w:p>
        </w:tc>
      </w:tr>
    </w:tbl>
    <w:p>
      <w:pPr>
        <w:pStyle w:val="47"/>
        <w:tabs>
          <w:tab w:val="left" w:pos="6480"/>
        </w:tabs>
        <w:spacing w:line="440" w:lineRule="exact"/>
        <w:rPr>
          <w:rFonts w:ascii="Times New Roman" w:hAnsi="Times New Roman" w:eastAsia="黑体"/>
          <w:sz w:val="30"/>
          <w:szCs w:val="30"/>
        </w:rPr>
      </w:pPr>
      <w:r>
        <w:rPr>
          <w:rFonts w:ascii="Times New Roman" w:hAnsi="Times New Roman" w:eastAsia="仿宋_GB2312"/>
          <w:sz w:val="30"/>
          <w:szCs w:val="30"/>
        </w:rPr>
        <w:br w:type="page"/>
      </w:r>
      <w:bookmarkStart w:id="1183" w:name="_Toc267261701"/>
      <w:r>
        <w:rPr>
          <w:rFonts w:ascii="Times New Roman" w:hAnsi="Times New Roman" w:eastAsia="仿宋_GB2312"/>
          <w:sz w:val="30"/>
          <w:szCs w:val="30"/>
        </w:rPr>
        <w:t>附</w:t>
      </w:r>
      <w:bookmarkStart w:id="1184" w:name="_Toc296891269"/>
      <w:bookmarkStart w:id="1185" w:name="_Toc296347228"/>
      <w:bookmarkStart w:id="1186" w:name="_Toc296503229"/>
      <w:bookmarkStart w:id="1187" w:name="_Toc296346730"/>
      <w:bookmarkStart w:id="1188" w:name="_Toc296891057"/>
      <w:bookmarkStart w:id="1189" w:name="_Toc296944568"/>
      <w:r>
        <w:rPr>
          <w:rFonts w:ascii="Times New Roman" w:hAnsi="Times New Roman" w:eastAsia="仿宋_GB2312"/>
          <w:sz w:val="30"/>
          <w:szCs w:val="30"/>
        </w:rPr>
        <w:t>件4：</w:t>
      </w:r>
    </w:p>
    <w:bookmarkEnd w:id="1184"/>
    <w:bookmarkEnd w:id="1185"/>
    <w:bookmarkEnd w:id="1186"/>
    <w:bookmarkEnd w:id="1187"/>
    <w:bookmarkEnd w:id="1188"/>
    <w:bookmarkEnd w:id="1189"/>
    <w:p>
      <w:pPr>
        <w:pStyle w:val="47"/>
        <w:tabs>
          <w:tab w:val="left" w:pos="6480"/>
        </w:tabs>
        <w:spacing w:beforeLines="50" w:afterLines="50" w:line="440" w:lineRule="exact"/>
        <w:jc w:val="center"/>
        <w:rPr>
          <w:rFonts w:ascii="Times New Roman" w:hAnsi="Times New Roman" w:eastAsia="黑体"/>
          <w:sz w:val="30"/>
          <w:szCs w:val="30"/>
        </w:rPr>
      </w:pPr>
      <w:r>
        <w:rPr>
          <w:rFonts w:ascii="Times New Roman" w:hAnsi="Times New Roman" w:eastAsia="黑体"/>
          <w:sz w:val="30"/>
          <w:szCs w:val="30"/>
        </w:rPr>
        <w:t>分包人主要施工管理人员表</w:t>
      </w:r>
    </w:p>
    <w:p>
      <w:pPr>
        <w:pStyle w:val="47"/>
        <w:tabs>
          <w:tab w:val="left" w:pos="6480"/>
        </w:tabs>
        <w:spacing w:beforeLines="50" w:afterLines="50" w:line="440" w:lineRule="exact"/>
        <w:jc w:val="center"/>
        <w:rPr>
          <w:rFonts w:ascii="Times New Roman" w:hAnsi="Times New Roman" w:eastAsia="黑体"/>
          <w:sz w:val="30"/>
          <w:szCs w:val="30"/>
        </w:rPr>
      </w:pPr>
    </w:p>
    <w:tbl>
      <w:tblPr>
        <w:tblStyle w:val="9"/>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名    称</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姓名</w:t>
            </w:r>
          </w:p>
        </w:tc>
        <w:tc>
          <w:tcPr>
            <w:tcW w:w="1134" w:type="dxa"/>
            <w:vAlign w:val="center"/>
          </w:tcPr>
          <w:p>
            <w:pPr>
              <w:pStyle w:val="50"/>
              <w:keepNext/>
              <w:tabs>
                <w:tab w:val="left" w:pos="6480"/>
              </w:tabs>
              <w:spacing w:after="0" w:line="440" w:lineRule="exact"/>
              <w:ind w:left="63" w:right="63"/>
              <w:rPr>
                <w:rFonts w:eastAsia="仿宋_GB2312"/>
                <w:kern w:val="2"/>
                <w:sz w:val="30"/>
                <w:szCs w:val="30"/>
              </w:rPr>
            </w:pPr>
            <w:r>
              <w:rPr>
                <w:rFonts w:eastAsia="仿宋_GB2312"/>
                <w:kern w:val="2"/>
                <w:sz w:val="30"/>
                <w:szCs w:val="30"/>
              </w:rPr>
              <w:t>职务</w:t>
            </w:r>
          </w:p>
        </w:tc>
        <w:tc>
          <w:tcPr>
            <w:tcW w:w="1134" w:type="dxa"/>
            <w:vAlign w:val="center"/>
          </w:tcPr>
          <w:p>
            <w:pPr>
              <w:pStyle w:val="50"/>
              <w:keepNext/>
              <w:tabs>
                <w:tab w:val="left" w:pos="6480"/>
              </w:tabs>
              <w:spacing w:after="0" w:line="440" w:lineRule="exact"/>
              <w:ind w:left="63" w:right="63"/>
              <w:rPr>
                <w:rFonts w:eastAsia="仿宋_GB2312"/>
                <w:kern w:val="2"/>
                <w:sz w:val="30"/>
                <w:szCs w:val="30"/>
              </w:rPr>
            </w:pPr>
            <w:r>
              <w:rPr>
                <w:rFonts w:eastAsia="仿宋_GB2312"/>
                <w:kern w:val="2"/>
                <w:sz w:val="30"/>
                <w:szCs w:val="30"/>
              </w:rPr>
              <w:t>职称</w:t>
            </w:r>
          </w:p>
        </w:tc>
        <w:tc>
          <w:tcPr>
            <w:tcW w:w="4252" w:type="dxa"/>
            <w:vAlign w:val="center"/>
          </w:tcPr>
          <w:p>
            <w:pPr>
              <w:pStyle w:val="50"/>
              <w:keepNext/>
              <w:tabs>
                <w:tab w:val="left" w:pos="6480"/>
              </w:tabs>
              <w:spacing w:after="0" w:line="440" w:lineRule="exact"/>
              <w:ind w:left="63" w:right="63"/>
              <w:rPr>
                <w:rFonts w:eastAsia="仿宋_GB2312"/>
                <w:kern w:val="2"/>
                <w:sz w:val="30"/>
                <w:szCs w:val="30"/>
              </w:rPr>
            </w:pPr>
            <w:r>
              <w:rPr>
                <w:rFonts w:eastAsia="仿宋_GB2312"/>
                <w:kern w:val="2"/>
                <w:sz w:val="30"/>
                <w:szCs w:val="30"/>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项目主管</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r>
              <w:rPr>
                <w:rFonts w:hint="eastAsia" w:eastAsia="仿宋_GB2312"/>
                <w:kern w:val="2"/>
                <w:sz w:val="28"/>
                <w:szCs w:val="30"/>
              </w:rPr>
              <w:t>/</w:t>
            </w: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50"/>
              <w:keepNext/>
              <w:tabs>
                <w:tab w:val="left" w:pos="6480"/>
              </w:tabs>
              <w:spacing w:line="440" w:lineRule="exact"/>
              <w:ind w:left="63" w:right="63"/>
              <w:rPr>
                <w:rFonts w:eastAsia="仿宋_GB2312"/>
                <w:kern w:val="2"/>
                <w:sz w:val="28"/>
                <w:szCs w:val="30"/>
              </w:rPr>
            </w:pPr>
            <w:r>
              <w:rPr>
                <w:rFonts w:eastAsia="仿宋_GB2312"/>
                <w:kern w:val="2"/>
                <w:sz w:val="28"/>
                <w:szCs w:val="30"/>
              </w:rPr>
              <w:t>其他人员</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r>
              <w:rPr>
                <w:rFonts w:hint="eastAsia" w:eastAsia="仿宋_GB2312"/>
                <w:kern w:val="2"/>
                <w:sz w:val="28"/>
                <w:szCs w:val="30"/>
              </w:rPr>
              <w:t>/</w:t>
            </w: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项目经理</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r>
              <w:rPr>
                <w:rFonts w:hint="eastAsia" w:eastAsia="仿宋_GB2312"/>
                <w:kern w:val="2"/>
                <w:sz w:val="28"/>
                <w:szCs w:val="30"/>
              </w:rPr>
              <w:t>/</w:t>
            </w: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项目副经理</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技术负责人</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造价管理</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质量管理</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材料管理</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计划管理</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安全管理</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其他人员</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50"/>
              <w:keepNext/>
              <w:tabs>
                <w:tab w:val="left" w:pos="6480"/>
              </w:tabs>
              <w:spacing w:after="0" w:line="440" w:lineRule="exact"/>
              <w:ind w:left="63" w:right="63"/>
              <w:rPr>
                <w:rFonts w:eastAsia="仿宋_GB2312"/>
                <w:kern w:val="2"/>
                <w:sz w:val="28"/>
                <w:szCs w:val="30"/>
              </w:rPr>
            </w:pPr>
          </w:p>
        </w:tc>
        <w:tc>
          <w:tcPr>
            <w:tcW w:w="1418" w:type="dxa"/>
            <w:vAlign w:val="center"/>
          </w:tcPr>
          <w:p>
            <w:pPr>
              <w:pStyle w:val="50"/>
              <w:keepNext/>
              <w:tabs>
                <w:tab w:val="left" w:pos="6480"/>
              </w:tabs>
              <w:spacing w:after="0" w:line="440" w:lineRule="exact"/>
              <w:ind w:left="63" w:right="63"/>
              <w:rPr>
                <w:rFonts w:eastAsia="仿宋_GB2312"/>
                <w:kern w:val="2"/>
                <w:sz w:val="28"/>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1134" w:type="dxa"/>
            <w:vAlign w:val="center"/>
          </w:tcPr>
          <w:p>
            <w:pPr>
              <w:pStyle w:val="50"/>
              <w:keepNext/>
              <w:tabs>
                <w:tab w:val="left" w:pos="6480"/>
              </w:tabs>
              <w:spacing w:after="0" w:line="440" w:lineRule="exact"/>
              <w:ind w:left="63" w:right="63"/>
              <w:rPr>
                <w:rFonts w:eastAsia="仿宋_GB2312"/>
                <w:kern w:val="2"/>
                <w:sz w:val="30"/>
                <w:szCs w:val="30"/>
              </w:rPr>
            </w:pPr>
          </w:p>
        </w:tc>
        <w:tc>
          <w:tcPr>
            <w:tcW w:w="4252" w:type="dxa"/>
            <w:vAlign w:val="center"/>
          </w:tcPr>
          <w:p>
            <w:pPr>
              <w:pStyle w:val="50"/>
              <w:keepNext/>
              <w:tabs>
                <w:tab w:val="left" w:pos="6480"/>
              </w:tabs>
              <w:spacing w:after="0" w:line="440" w:lineRule="exact"/>
              <w:ind w:left="63" w:right="63"/>
              <w:rPr>
                <w:rFonts w:eastAsia="仿宋_GB2312"/>
                <w:kern w:val="2"/>
                <w:sz w:val="30"/>
                <w:szCs w:val="30"/>
              </w:rPr>
            </w:pPr>
          </w:p>
        </w:tc>
      </w:tr>
    </w:tbl>
    <w:p>
      <w:pPr>
        <w:pStyle w:val="47"/>
        <w:tabs>
          <w:tab w:val="left" w:pos="6480"/>
        </w:tabs>
        <w:spacing w:line="440" w:lineRule="exact"/>
        <w:rPr>
          <w:rFonts w:ascii="Times New Roman" w:hAnsi="Times New Roman" w:eastAsia="仿宋_GB2312"/>
          <w:sz w:val="30"/>
          <w:szCs w:val="30"/>
        </w:rPr>
      </w:pPr>
      <w:r>
        <w:rPr>
          <w:rFonts w:ascii="Times New Roman" w:hAnsi="Times New Roman" w:eastAsia="仿宋_GB2312"/>
          <w:sz w:val="30"/>
          <w:szCs w:val="30"/>
        </w:rPr>
        <w:br w:type="page"/>
      </w:r>
      <w:r>
        <w:rPr>
          <w:rFonts w:ascii="Times New Roman" w:hAnsi="Times New Roman" w:eastAsia="仿宋_GB2312"/>
          <w:sz w:val="30"/>
          <w:szCs w:val="30"/>
        </w:rPr>
        <w:t>附</w:t>
      </w:r>
      <w:bookmarkStart w:id="1190" w:name="_Toc296944570"/>
      <w:bookmarkStart w:id="1191" w:name="_Toc296503231"/>
      <w:bookmarkStart w:id="1192" w:name="_Toc296347230"/>
      <w:bookmarkStart w:id="1193" w:name="_Toc296346732"/>
      <w:bookmarkStart w:id="1194" w:name="_Toc296891271"/>
      <w:bookmarkStart w:id="1195" w:name="_Toc296891059"/>
      <w:r>
        <w:rPr>
          <w:rFonts w:ascii="Times New Roman" w:hAnsi="Times New Roman" w:eastAsia="仿宋_GB2312"/>
          <w:sz w:val="30"/>
          <w:szCs w:val="30"/>
        </w:rPr>
        <w:t>件5：</w:t>
      </w:r>
    </w:p>
    <w:bookmarkEnd w:id="1183"/>
    <w:bookmarkEnd w:id="1190"/>
    <w:bookmarkEnd w:id="1191"/>
    <w:bookmarkEnd w:id="1192"/>
    <w:bookmarkEnd w:id="1193"/>
    <w:bookmarkEnd w:id="1194"/>
    <w:bookmarkEnd w:id="1195"/>
    <w:p>
      <w:pPr>
        <w:pStyle w:val="47"/>
        <w:tabs>
          <w:tab w:val="left" w:pos="6480"/>
        </w:tabs>
        <w:spacing w:beforeLines="50" w:afterLines="50" w:line="440" w:lineRule="exact"/>
        <w:jc w:val="center"/>
        <w:rPr>
          <w:rFonts w:ascii="Times New Roman" w:hAnsi="Times New Roman" w:eastAsia="黑体"/>
          <w:sz w:val="30"/>
          <w:szCs w:val="30"/>
        </w:rPr>
      </w:pPr>
      <w:r>
        <w:rPr>
          <w:rFonts w:ascii="Times New Roman" w:hAnsi="Times New Roman" w:eastAsia="黑体"/>
          <w:sz w:val="30"/>
          <w:szCs w:val="30"/>
        </w:rPr>
        <w:t>履约担保</w:t>
      </w:r>
    </w:p>
    <w:p>
      <w:pPr>
        <w:pStyle w:val="47"/>
        <w:tabs>
          <w:tab w:val="left" w:pos="6480"/>
        </w:tabs>
        <w:spacing w:line="360" w:lineRule="auto"/>
        <w:rPr>
          <w:rFonts w:ascii="Times New Roman" w:hAnsi="Times New Roman"/>
          <w:szCs w:val="21"/>
          <w:u w:val="single"/>
        </w:rPr>
      </w:pPr>
    </w:p>
    <w:p>
      <w:pPr>
        <w:pStyle w:val="47"/>
        <w:tabs>
          <w:tab w:val="left" w:pos="6480"/>
        </w:tabs>
        <w:spacing w:line="360" w:lineRule="auto"/>
        <w:rPr>
          <w:rFonts w:ascii="Times New Roman" w:hAnsi="Times New Roman"/>
          <w:szCs w:val="21"/>
        </w:rPr>
      </w:pPr>
      <w:r>
        <w:rPr>
          <w:rFonts w:ascii="Times New Roman" w:hAnsi="Times New Roman"/>
          <w:szCs w:val="21"/>
          <w:u w:val="single"/>
        </w:rPr>
        <w:t xml:space="preserve">               /           </w:t>
      </w:r>
      <w:r>
        <w:rPr>
          <w:rFonts w:ascii="Times New Roman" w:hAnsi="Times New Roman"/>
          <w:szCs w:val="21"/>
        </w:rPr>
        <w:t>（发包人名称）：</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鉴于</w:t>
      </w:r>
      <w:r>
        <w:rPr>
          <w:rFonts w:ascii="Times New Roman" w:hAnsi="Times New Roman"/>
          <w:szCs w:val="21"/>
          <w:u w:val="single"/>
        </w:rPr>
        <w:t xml:space="preserve">               /                         </w:t>
      </w:r>
      <w:r>
        <w:rPr>
          <w:rFonts w:ascii="Times New Roman" w:hAnsi="Times New Roman"/>
          <w:szCs w:val="21"/>
        </w:rPr>
        <w:t>（发包人名称，以下简称“发包人”）已</w:t>
      </w:r>
    </w:p>
    <w:p>
      <w:pPr>
        <w:pStyle w:val="47"/>
        <w:tabs>
          <w:tab w:val="left" w:pos="6480"/>
        </w:tabs>
        <w:spacing w:line="360" w:lineRule="auto"/>
        <w:rPr>
          <w:rFonts w:ascii="Times New Roman" w:hAnsi="Times New Roman"/>
          <w:szCs w:val="21"/>
        </w:rPr>
      </w:pPr>
      <w:r>
        <w:rPr>
          <w:rFonts w:ascii="Times New Roman" w:hAnsi="Times New Roman"/>
          <w:szCs w:val="21"/>
        </w:rPr>
        <w:t>于年月日发放中标通知书，明确</w:t>
      </w:r>
      <w:r>
        <w:rPr>
          <w:rFonts w:ascii="Times New Roman" w:hAnsi="Times New Roman"/>
          <w:szCs w:val="21"/>
          <w:u w:val="single"/>
        </w:rPr>
        <w:t xml:space="preserve">             /         </w:t>
      </w:r>
      <w:r>
        <w:rPr>
          <w:rFonts w:ascii="Times New Roman" w:hAnsi="Times New Roman"/>
          <w:szCs w:val="21"/>
        </w:rPr>
        <w:t xml:space="preserve">（承包人名称）（以下称“承包人”）为（工程名称）的中标人。我方愿意无条件地、不可撤销地就承包人履行与你方就该工程签订的合同，向你方提供连带责任担保。 </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1. 担保金额人民币（大写）元（¥）。</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2. 担保有效期自你方与承包人签订的合同生效之日起至你方签发或应签发工程接收证书之日止。</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3. 在本担保有效期内，因承包人违反合同约定的义务给你方造成经济损失时，我方在收到你方以书面形式提出的在担保金额内的赔偿要求后，在7天内无条件支付。</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4. 你方和承包人按合同约定变更合同时，我方承担本担保规定的义务不变。</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5. 因本保函发生的纠纷，可由双方协商解决，协商不成的，任何一方均可提请仲裁委员会仲裁。</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6. 本保函自我方法定代表人（或其授权代理人）签字并加盖公章之日起生效。</w:t>
      </w:r>
    </w:p>
    <w:p>
      <w:pPr>
        <w:pStyle w:val="47"/>
        <w:tabs>
          <w:tab w:val="left" w:pos="6480"/>
        </w:tabs>
        <w:spacing w:line="360" w:lineRule="auto"/>
        <w:rPr>
          <w:rFonts w:ascii="Times New Roman" w:hAnsi="Times New Roman"/>
          <w:szCs w:val="21"/>
        </w:rPr>
      </w:pPr>
    </w:p>
    <w:p>
      <w:pPr>
        <w:pStyle w:val="47"/>
        <w:tabs>
          <w:tab w:val="left" w:pos="6480"/>
        </w:tabs>
        <w:spacing w:line="360" w:lineRule="auto"/>
        <w:rPr>
          <w:rFonts w:ascii="Times New Roman" w:hAnsi="Times New Roman"/>
          <w:szCs w:val="21"/>
        </w:rPr>
      </w:pPr>
      <w:r>
        <w:rPr>
          <w:rFonts w:ascii="Times New Roman" w:hAnsi="Times New Roman"/>
          <w:szCs w:val="21"/>
        </w:rPr>
        <w:t>担 保 人：</w:t>
      </w:r>
      <w:r>
        <w:rPr>
          <w:rFonts w:ascii="Times New Roman" w:hAnsi="Times New Roman"/>
          <w:szCs w:val="21"/>
          <w:u w:val="single"/>
        </w:rPr>
        <w:t xml:space="preserve">             /              </w:t>
      </w:r>
      <w:r>
        <w:rPr>
          <w:rFonts w:ascii="Times New Roman" w:hAnsi="Times New Roman"/>
          <w:szCs w:val="21"/>
        </w:rPr>
        <w:t>（盖单位章）</w:t>
      </w:r>
    </w:p>
    <w:p>
      <w:pPr>
        <w:pStyle w:val="47"/>
        <w:tabs>
          <w:tab w:val="left" w:pos="6480"/>
        </w:tabs>
        <w:spacing w:line="360" w:lineRule="auto"/>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         </w:t>
      </w:r>
      <w:r>
        <w:rPr>
          <w:rFonts w:ascii="Times New Roman" w:hAnsi="Times New Roman"/>
          <w:szCs w:val="21"/>
        </w:rPr>
        <w:t>（签字）</w:t>
      </w:r>
    </w:p>
    <w:p>
      <w:pPr>
        <w:pStyle w:val="47"/>
        <w:tabs>
          <w:tab w:val="left" w:pos="6480"/>
        </w:tabs>
        <w:spacing w:line="360" w:lineRule="auto"/>
        <w:rPr>
          <w:rFonts w:ascii="Times New Roman" w:hAnsi="Times New Roman"/>
          <w:szCs w:val="21"/>
        </w:rPr>
      </w:pPr>
      <w:r>
        <w:rPr>
          <w:rFonts w:ascii="Times New Roman" w:hAnsi="Times New Roman"/>
          <w:szCs w:val="21"/>
        </w:rPr>
        <w:t>地    址：</w:t>
      </w:r>
    </w:p>
    <w:p>
      <w:pPr>
        <w:pStyle w:val="47"/>
        <w:tabs>
          <w:tab w:val="left" w:pos="6480"/>
        </w:tabs>
        <w:spacing w:line="360" w:lineRule="auto"/>
        <w:rPr>
          <w:rFonts w:ascii="Times New Roman" w:hAnsi="Times New Roman"/>
          <w:szCs w:val="21"/>
        </w:rPr>
      </w:pPr>
      <w:r>
        <w:rPr>
          <w:rFonts w:ascii="Times New Roman" w:hAnsi="Times New Roman"/>
          <w:szCs w:val="21"/>
        </w:rPr>
        <w:t>邮政编码：</w:t>
      </w:r>
    </w:p>
    <w:p>
      <w:pPr>
        <w:pStyle w:val="47"/>
        <w:tabs>
          <w:tab w:val="left" w:pos="6480"/>
        </w:tabs>
        <w:spacing w:line="360" w:lineRule="auto"/>
        <w:rPr>
          <w:rFonts w:ascii="Times New Roman" w:hAnsi="Times New Roman"/>
          <w:szCs w:val="21"/>
          <w:u w:val="single"/>
        </w:rPr>
      </w:pPr>
      <w:r>
        <w:rPr>
          <w:rFonts w:ascii="Times New Roman" w:hAnsi="Times New Roman"/>
          <w:szCs w:val="21"/>
        </w:rPr>
        <w:t>电    话：</w:t>
      </w:r>
    </w:p>
    <w:p>
      <w:pPr>
        <w:pStyle w:val="47"/>
        <w:tabs>
          <w:tab w:val="left" w:pos="6480"/>
        </w:tabs>
        <w:spacing w:line="360" w:lineRule="auto"/>
        <w:rPr>
          <w:rFonts w:ascii="Times New Roman" w:hAnsi="Times New Roman"/>
          <w:szCs w:val="21"/>
        </w:rPr>
      </w:pPr>
      <w:r>
        <w:rPr>
          <w:rFonts w:ascii="Times New Roman" w:hAnsi="Times New Roman"/>
          <w:szCs w:val="21"/>
        </w:rPr>
        <w:t>传    真：</w:t>
      </w:r>
    </w:p>
    <w:p>
      <w:pPr>
        <w:pStyle w:val="47"/>
        <w:tabs>
          <w:tab w:val="left" w:pos="6480"/>
        </w:tabs>
        <w:spacing w:line="360" w:lineRule="auto"/>
        <w:jc w:val="left"/>
        <w:rPr>
          <w:rFonts w:ascii="Times New Roman" w:hAnsi="Times New Roman"/>
          <w:szCs w:val="21"/>
          <w:u w:val="single"/>
        </w:rPr>
      </w:pPr>
    </w:p>
    <w:p>
      <w:pPr>
        <w:pStyle w:val="47"/>
        <w:tabs>
          <w:tab w:val="left" w:pos="6480"/>
        </w:tabs>
        <w:spacing w:line="360" w:lineRule="auto"/>
        <w:ind w:left="1329" w:hanging="1329" w:hangingChars="633"/>
        <w:rPr>
          <w:rFonts w:ascii="Times New Roman" w:hAnsi="Times New Roman"/>
          <w:szCs w:val="21"/>
        </w:rPr>
      </w:pPr>
      <w:r>
        <w:rPr>
          <w:rFonts w:ascii="Times New Roman" w:hAnsi="Times New Roman"/>
          <w:szCs w:val="21"/>
        </w:rPr>
        <w:t>年月日</w:t>
      </w:r>
    </w:p>
    <w:p>
      <w:pPr>
        <w:pStyle w:val="47"/>
        <w:tabs>
          <w:tab w:val="left" w:pos="6480"/>
        </w:tabs>
        <w:spacing w:line="360" w:lineRule="auto"/>
        <w:ind w:left="1329" w:hanging="1329" w:hangingChars="633"/>
        <w:rPr>
          <w:rFonts w:ascii="Times New Roman" w:hAnsi="Times New Roman"/>
          <w:szCs w:val="21"/>
        </w:rPr>
      </w:pPr>
    </w:p>
    <w:p>
      <w:pPr>
        <w:pStyle w:val="47"/>
        <w:tabs>
          <w:tab w:val="left" w:pos="6480"/>
        </w:tabs>
        <w:spacing w:line="440" w:lineRule="exact"/>
        <w:rPr>
          <w:rFonts w:ascii="Times New Roman" w:hAnsi="Times New Roman" w:eastAsia="仿宋_GB2312"/>
          <w:sz w:val="30"/>
          <w:szCs w:val="30"/>
        </w:rPr>
      </w:pPr>
    </w:p>
    <w:p>
      <w:pPr>
        <w:pStyle w:val="47"/>
        <w:tabs>
          <w:tab w:val="left" w:pos="6480"/>
        </w:tabs>
        <w:spacing w:line="440" w:lineRule="exact"/>
        <w:rPr>
          <w:rFonts w:ascii="Times New Roman" w:hAnsi="Times New Roman" w:eastAsia="仿宋_GB2312"/>
          <w:sz w:val="30"/>
          <w:szCs w:val="30"/>
        </w:rPr>
      </w:pPr>
    </w:p>
    <w:p>
      <w:pPr>
        <w:pStyle w:val="47"/>
        <w:tabs>
          <w:tab w:val="left" w:pos="6480"/>
        </w:tabs>
        <w:spacing w:line="440" w:lineRule="exact"/>
        <w:rPr>
          <w:rFonts w:ascii="Times New Roman" w:hAnsi="Times New Roman" w:eastAsia="黑体"/>
          <w:sz w:val="30"/>
          <w:szCs w:val="30"/>
        </w:rPr>
      </w:pPr>
      <w:r>
        <w:rPr>
          <w:rFonts w:ascii="Times New Roman" w:hAnsi="Times New Roman" w:eastAsia="仿宋_GB2312"/>
          <w:sz w:val="30"/>
          <w:szCs w:val="30"/>
        </w:rPr>
        <w:t>附</w:t>
      </w:r>
      <w:bookmarkStart w:id="1196" w:name="_Toc296346726"/>
      <w:bookmarkStart w:id="1197" w:name="_Toc267261692"/>
      <w:bookmarkStart w:id="1198" w:name="_Toc296944564"/>
      <w:bookmarkStart w:id="1199" w:name="_Toc296891265"/>
      <w:bookmarkStart w:id="1200" w:name="_Toc296503225"/>
      <w:bookmarkStart w:id="1201" w:name="_Toc296347224"/>
      <w:bookmarkStart w:id="1202" w:name="_Toc296891053"/>
      <w:r>
        <w:rPr>
          <w:rFonts w:ascii="Times New Roman" w:hAnsi="Times New Roman" w:eastAsia="仿宋_GB2312"/>
          <w:sz w:val="30"/>
          <w:szCs w:val="30"/>
        </w:rPr>
        <w:t>件6：</w:t>
      </w:r>
    </w:p>
    <w:bookmarkEnd w:id="1196"/>
    <w:bookmarkEnd w:id="1197"/>
    <w:bookmarkEnd w:id="1198"/>
    <w:bookmarkEnd w:id="1199"/>
    <w:bookmarkEnd w:id="1200"/>
    <w:bookmarkEnd w:id="1201"/>
    <w:bookmarkEnd w:id="1202"/>
    <w:p>
      <w:pPr>
        <w:pStyle w:val="47"/>
        <w:tabs>
          <w:tab w:val="left" w:pos="6480"/>
        </w:tabs>
        <w:spacing w:beforeLines="50" w:afterLines="50" w:line="440" w:lineRule="exact"/>
        <w:jc w:val="center"/>
        <w:rPr>
          <w:rFonts w:ascii="Times New Roman" w:hAnsi="Times New Roman" w:eastAsia="黑体"/>
          <w:sz w:val="30"/>
          <w:szCs w:val="30"/>
        </w:rPr>
      </w:pPr>
      <w:r>
        <w:rPr>
          <w:rFonts w:ascii="Times New Roman" w:hAnsi="Times New Roman" w:eastAsia="黑体"/>
          <w:sz w:val="30"/>
          <w:szCs w:val="30"/>
        </w:rPr>
        <w:t>承包人用于本工程施工的机械设备表</w:t>
      </w:r>
    </w:p>
    <w:p>
      <w:pPr>
        <w:pStyle w:val="47"/>
        <w:tabs>
          <w:tab w:val="left" w:pos="6480"/>
        </w:tabs>
        <w:spacing w:beforeLines="50" w:afterLines="50" w:line="440" w:lineRule="exact"/>
        <w:jc w:val="center"/>
        <w:rPr>
          <w:rFonts w:ascii="Times New Roman" w:hAnsi="Times New Roman" w:eastAsia="黑体"/>
          <w:sz w:val="30"/>
          <w:szCs w:val="30"/>
        </w:rPr>
      </w:pPr>
    </w:p>
    <w:tbl>
      <w:tblPr>
        <w:tblStyle w:val="9"/>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序号</w:t>
            </w:r>
          </w:p>
        </w:tc>
        <w:tc>
          <w:tcPr>
            <w:tcW w:w="1418"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机械或设备名称</w:t>
            </w:r>
          </w:p>
        </w:tc>
        <w:tc>
          <w:tcPr>
            <w:tcW w:w="85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规格型号</w:t>
            </w:r>
          </w:p>
        </w:tc>
        <w:tc>
          <w:tcPr>
            <w:tcW w:w="1058"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数量</w:t>
            </w:r>
          </w:p>
        </w:tc>
        <w:tc>
          <w:tcPr>
            <w:tcW w:w="88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产地</w:t>
            </w:r>
          </w:p>
        </w:tc>
        <w:tc>
          <w:tcPr>
            <w:tcW w:w="102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制造年份</w:t>
            </w:r>
          </w:p>
        </w:tc>
        <w:tc>
          <w:tcPr>
            <w:tcW w:w="148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额定功率（kW）</w:t>
            </w:r>
          </w:p>
        </w:tc>
        <w:tc>
          <w:tcPr>
            <w:tcW w:w="1020"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生产能力</w:t>
            </w:r>
          </w:p>
        </w:tc>
        <w:tc>
          <w:tcPr>
            <w:tcW w:w="921" w:type="dxa"/>
            <w:vAlign w:val="center"/>
          </w:tcPr>
          <w:p>
            <w:pPr>
              <w:pStyle w:val="50"/>
              <w:keepNext/>
              <w:tabs>
                <w:tab w:val="left" w:pos="6480"/>
              </w:tabs>
              <w:spacing w:after="0" w:line="440" w:lineRule="exact"/>
              <w:ind w:left="63" w:right="63"/>
              <w:rPr>
                <w:rFonts w:eastAsia="仿宋_GB2312"/>
                <w:kern w:val="2"/>
                <w:sz w:val="28"/>
                <w:szCs w:val="30"/>
              </w:rPr>
            </w:pPr>
            <w:r>
              <w:rPr>
                <w:rFonts w:eastAsia="仿宋_GB2312"/>
                <w:kern w:val="2"/>
                <w:sz w:val="28"/>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058" w:type="dxa"/>
            <w:vAlign w:val="center"/>
          </w:tcPr>
          <w:p>
            <w:pPr>
              <w:spacing w:line="360" w:lineRule="auto"/>
              <w:jc w:val="center"/>
              <w:rPr>
                <w:rFonts w:ascii="宋体" w:hAnsi="宋体"/>
                <w:szCs w:val="21"/>
              </w:rPr>
            </w:pPr>
          </w:p>
        </w:tc>
        <w:tc>
          <w:tcPr>
            <w:tcW w:w="880" w:type="dxa"/>
            <w:vAlign w:val="center"/>
          </w:tcPr>
          <w:p>
            <w:pPr>
              <w:spacing w:line="360" w:lineRule="auto"/>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vAlign w:val="center"/>
          </w:tcPr>
          <w:p>
            <w:pPr>
              <w:spacing w:line="360" w:lineRule="auto"/>
              <w:jc w:val="center"/>
              <w:rPr>
                <w:rFonts w:ascii="宋体" w:hAnsi="宋体"/>
                <w:szCs w:val="21"/>
              </w:rPr>
            </w:pPr>
          </w:p>
        </w:tc>
        <w:tc>
          <w:tcPr>
            <w:tcW w:w="850" w:type="dxa"/>
            <w:vAlign w:val="center"/>
          </w:tcPr>
          <w:p>
            <w:pPr>
              <w:spacing w:line="360" w:lineRule="auto"/>
              <w:jc w:val="center"/>
              <w:rPr>
                <w:rFonts w:ascii="宋体" w:hAnsi="宋体"/>
                <w:szCs w:val="21"/>
              </w:rPr>
            </w:pPr>
          </w:p>
        </w:tc>
        <w:tc>
          <w:tcPr>
            <w:tcW w:w="1058" w:type="dxa"/>
            <w:vAlign w:val="center"/>
          </w:tcPr>
          <w:p>
            <w:pPr>
              <w:pStyle w:val="3"/>
              <w:spacing w:line="360" w:lineRule="auto"/>
              <w:ind w:firstLine="0"/>
              <w:jc w:val="center"/>
              <w:rPr>
                <w:rFonts w:ascii="宋体" w:hAnsi="宋体"/>
                <w:szCs w:val="21"/>
              </w:rPr>
            </w:pPr>
          </w:p>
        </w:tc>
        <w:tc>
          <w:tcPr>
            <w:tcW w:w="880" w:type="dxa"/>
            <w:vAlign w:val="center"/>
          </w:tcPr>
          <w:p>
            <w:pPr>
              <w:spacing w:line="360" w:lineRule="auto"/>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spacing w:line="360" w:lineRule="auto"/>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vAlign w:val="center"/>
          </w:tcPr>
          <w:p>
            <w:pPr>
              <w:pStyle w:val="3"/>
              <w:spacing w:line="360" w:lineRule="auto"/>
              <w:ind w:firstLine="0"/>
              <w:jc w:val="center"/>
              <w:rPr>
                <w:rFonts w:ascii="宋体" w:hAnsi="宋体"/>
                <w:szCs w:val="21"/>
              </w:rPr>
            </w:pPr>
          </w:p>
        </w:tc>
        <w:tc>
          <w:tcPr>
            <w:tcW w:w="850" w:type="dxa"/>
            <w:vAlign w:val="center"/>
          </w:tcPr>
          <w:p>
            <w:pPr>
              <w:pStyle w:val="3"/>
              <w:spacing w:line="360" w:lineRule="auto"/>
              <w:ind w:firstLine="0"/>
              <w:jc w:val="center"/>
              <w:rPr>
                <w:rFonts w:ascii="宋体" w:hAnsi="宋体"/>
                <w:szCs w:val="21"/>
              </w:rPr>
            </w:pPr>
          </w:p>
        </w:tc>
        <w:tc>
          <w:tcPr>
            <w:tcW w:w="1058" w:type="dxa"/>
            <w:vAlign w:val="center"/>
          </w:tcPr>
          <w:p>
            <w:pPr>
              <w:pStyle w:val="3"/>
              <w:spacing w:line="360" w:lineRule="auto"/>
              <w:ind w:firstLine="0"/>
              <w:jc w:val="center"/>
              <w:rPr>
                <w:rFonts w:ascii="宋体" w:hAnsi="宋体"/>
                <w:szCs w:val="21"/>
              </w:rPr>
            </w:pPr>
          </w:p>
        </w:tc>
        <w:tc>
          <w:tcPr>
            <w:tcW w:w="8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vAlign w:val="center"/>
          </w:tcPr>
          <w:p>
            <w:pPr>
              <w:pStyle w:val="3"/>
              <w:spacing w:line="360" w:lineRule="auto"/>
              <w:ind w:firstLine="0"/>
              <w:jc w:val="center"/>
              <w:rPr>
                <w:rFonts w:ascii="宋体" w:hAnsi="宋体"/>
                <w:szCs w:val="21"/>
              </w:rPr>
            </w:pPr>
          </w:p>
        </w:tc>
        <w:tc>
          <w:tcPr>
            <w:tcW w:w="850" w:type="dxa"/>
            <w:vAlign w:val="center"/>
          </w:tcPr>
          <w:p>
            <w:pPr>
              <w:pStyle w:val="3"/>
              <w:spacing w:line="360" w:lineRule="auto"/>
              <w:ind w:firstLine="0"/>
              <w:jc w:val="center"/>
              <w:rPr>
                <w:rFonts w:ascii="宋体" w:hAnsi="宋体"/>
                <w:szCs w:val="21"/>
              </w:rPr>
            </w:pPr>
          </w:p>
        </w:tc>
        <w:tc>
          <w:tcPr>
            <w:tcW w:w="1058" w:type="dxa"/>
            <w:vAlign w:val="center"/>
          </w:tcPr>
          <w:p>
            <w:pPr>
              <w:pStyle w:val="3"/>
              <w:spacing w:line="360" w:lineRule="auto"/>
              <w:ind w:firstLine="0"/>
              <w:jc w:val="center"/>
              <w:rPr>
                <w:rFonts w:ascii="宋体" w:hAnsi="宋体"/>
                <w:szCs w:val="21"/>
              </w:rPr>
            </w:pPr>
          </w:p>
        </w:tc>
        <w:tc>
          <w:tcPr>
            <w:tcW w:w="8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vAlign w:val="center"/>
          </w:tcPr>
          <w:p>
            <w:pPr>
              <w:pStyle w:val="3"/>
              <w:spacing w:line="360" w:lineRule="auto"/>
              <w:ind w:firstLine="0"/>
              <w:jc w:val="center"/>
              <w:rPr>
                <w:rFonts w:ascii="宋体" w:hAnsi="宋体"/>
                <w:szCs w:val="21"/>
              </w:rPr>
            </w:pPr>
          </w:p>
        </w:tc>
        <w:tc>
          <w:tcPr>
            <w:tcW w:w="850" w:type="dxa"/>
            <w:vAlign w:val="center"/>
          </w:tcPr>
          <w:p>
            <w:pPr>
              <w:pStyle w:val="3"/>
              <w:spacing w:line="360" w:lineRule="auto"/>
              <w:ind w:firstLine="0"/>
              <w:jc w:val="center"/>
              <w:rPr>
                <w:rFonts w:ascii="宋体" w:hAnsi="宋体"/>
                <w:szCs w:val="21"/>
              </w:rPr>
            </w:pPr>
          </w:p>
        </w:tc>
        <w:tc>
          <w:tcPr>
            <w:tcW w:w="1058" w:type="dxa"/>
            <w:vAlign w:val="center"/>
          </w:tcPr>
          <w:p>
            <w:pPr>
              <w:pStyle w:val="3"/>
              <w:spacing w:line="360" w:lineRule="auto"/>
              <w:ind w:firstLine="0"/>
              <w:jc w:val="center"/>
              <w:rPr>
                <w:rFonts w:ascii="宋体" w:hAnsi="宋体"/>
                <w:szCs w:val="21"/>
              </w:rPr>
            </w:pPr>
          </w:p>
        </w:tc>
        <w:tc>
          <w:tcPr>
            <w:tcW w:w="8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tcPr>
          <w:p>
            <w:pPr>
              <w:pStyle w:val="47"/>
              <w:tabs>
                <w:tab w:val="left" w:pos="6480"/>
              </w:tabs>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vAlign w:val="center"/>
          </w:tcPr>
          <w:p>
            <w:pPr>
              <w:pStyle w:val="50"/>
              <w:keepNext/>
              <w:tabs>
                <w:tab w:val="left" w:pos="6480"/>
              </w:tabs>
              <w:spacing w:after="0" w:line="440" w:lineRule="exact"/>
              <w:ind w:left="63" w:right="63"/>
              <w:rPr>
                <w:rFonts w:eastAsia="仿宋_GB2312"/>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tcPr>
          <w:p>
            <w:pPr>
              <w:pStyle w:val="47"/>
              <w:tabs>
                <w:tab w:val="left" w:pos="6480"/>
              </w:tabs>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tcPr>
          <w:p>
            <w:pPr>
              <w:pStyle w:val="47"/>
              <w:tabs>
                <w:tab w:val="left" w:pos="6480"/>
              </w:tabs>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tcPr>
          <w:p>
            <w:pPr>
              <w:pStyle w:val="47"/>
              <w:tabs>
                <w:tab w:val="left" w:pos="6480"/>
              </w:tabs>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numPr>
                <w:ilvl w:val="0"/>
                <w:numId w:val="2"/>
              </w:numPr>
              <w:autoSpaceDE w:val="0"/>
              <w:autoSpaceDN w:val="0"/>
              <w:adjustRightInd w:val="0"/>
              <w:spacing w:line="360" w:lineRule="auto"/>
              <w:ind w:left="0" w:firstLine="0"/>
              <w:jc w:val="center"/>
              <w:textAlignment w:val="baseline"/>
              <w:rPr>
                <w:rFonts w:ascii="宋体" w:hAnsi="宋体"/>
                <w:bCs/>
                <w:szCs w:val="21"/>
              </w:rPr>
            </w:pPr>
          </w:p>
        </w:tc>
        <w:tc>
          <w:tcPr>
            <w:tcW w:w="1418" w:type="dxa"/>
          </w:tcPr>
          <w:p>
            <w:pPr>
              <w:pStyle w:val="3"/>
              <w:spacing w:line="360" w:lineRule="auto"/>
              <w:ind w:firstLine="0"/>
              <w:jc w:val="center"/>
              <w:rPr>
                <w:rFonts w:ascii="宋体" w:hAnsi="宋体"/>
                <w:szCs w:val="21"/>
              </w:rPr>
            </w:pPr>
          </w:p>
        </w:tc>
        <w:tc>
          <w:tcPr>
            <w:tcW w:w="850" w:type="dxa"/>
          </w:tcPr>
          <w:p>
            <w:pPr>
              <w:pStyle w:val="3"/>
              <w:spacing w:line="360" w:lineRule="auto"/>
              <w:ind w:firstLine="0"/>
              <w:jc w:val="center"/>
              <w:rPr>
                <w:rFonts w:ascii="宋体" w:hAnsi="宋体"/>
                <w:szCs w:val="21"/>
              </w:rPr>
            </w:pPr>
          </w:p>
        </w:tc>
        <w:tc>
          <w:tcPr>
            <w:tcW w:w="1058" w:type="dxa"/>
          </w:tcPr>
          <w:p>
            <w:pPr>
              <w:pStyle w:val="3"/>
              <w:spacing w:line="360" w:lineRule="auto"/>
              <w:ind w:firstLine="0"/>
              <w:jc w:val="center"/>
              <w:rPr>
                <w:rFonts w:ascii="宋体" w:hAnsi="宋体"/>
                <w:szCs w:val="21"/>
              </w:rPr>
            </w:pPr>
          </w:p>
        </w:tc>
        <w:tc>
          <w:tcPr>
            <w:tcW w:w="880" w:type="dxa"/>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1480" w:type="dxa"/>
            <w:vAlign w:val="center"/>
          </w:tcPr>
          <w:p>
            <w:pPr>
              <w:pStyle w:val="3"/>
              <w:spacing w:line="360" w:lineRule="auto"/>
              <w:ind w:firstLine="0"/>
              <w:jc w:val="center"/>
              <w:rPr>
                <w:rFonts w:ascii="宋体" w:hAnsi="宋体"/>
                <w:szCs w:val="21"/>
              </w:rPr>
            </w:pPr>
          </w:p>
        </w:tc>
        <w:tc>
          <w:tcPr>
            <w:tcW w:w="1020" w:type="dxa"/>
            <w:vAlign w:val="center"/>
          </w:tcPr>
          <w:p>
            <w:pPr>
              <w:pStyle w:val="3"/>
              <w:spacing w:line="360" w:lineRule="auto"/>
              <w:ind w:firstLine="0"/>
              <w:jc w:val="center"/>
              <w:rPr>
                <w:rFonts w:ascii="宋体" w:hAnsi="宋体"/>
                <w:szCs w:val="21"/>
              </w:rPr>
            </w:pPr>
          </w:p>
        </w:tc>
        <w:tc>
          <w:tcPr>
            <w:tcW w:w="921" w:type="dxa"/>
          </w:tcPr>
          <w:p>
            <w:pPr>
              <w:pStyle w:val="47"/>
              <w:tabs>
                <w:tab w:val="left" w:pos="6480"/>
              </w:tabs>
              <w:rPr>
                <w:rFonts w:ascii="Times New Roman" w:hAnsi="Times New Roman" w:eastAsia="仿宋_GB2312"/>
                <w:sz w:val="30"/>
                <w:szCs w:val="30"/>
              </w:rPr>
            </w:pPr>
          </w:p>
        </w:tc>
      </w:tr>
    </w:tbl>
    <w:p>
      <w:pPr>
        <w:pStyle w:val="47"/>
        <w:tabs>
          <w:tab w:val="left" w:pos="6480"/>
        </w:tabs>
        <w:spacing w:line="360" w:lineRule="auto"/>
        <w:rPr>
          <w:rFonts w:ascii="Times New Roman" w:hAnsi="Times New Roman" w:eastAsia="仿宋_GB2312"/>
          <w:sz w:val="30"/>
          <w:szCs w:val="30"/>
        </w:rPr>
      </w:pPr>
    </w:p>
    <w:p>
      <w:pPr>
        <w:pStyle w:val="47"/>
        <w:tabs>
          <w:tab w:val="left" w:pos="6480"/>
        </w:tabs>
        <w:spacing w:line="360" w:lineRule="auto"/>
        <w:rPr>
          <w:rFonts w:ascii="Times New Roman" w:hAnsi="Times New Roman" w:eastAsia="仿宋_GB2312"/>
          <w:sz w:val="30"/>
          <w:szCs w:val="30"/>
        </w:rPr>
      </w:pPr>
    </w:p>
    <w:p>
      <w:pPr>
        <w:pStyle w:val="47"/>
        <w:tabs>
          <w:tab w:val="left" w:pos="6480"/>
        </w:tabs>
        <w:spacing w:line="360" w:lineRule="auto"/>
        <w:rPr>
          <w:rFonts w:ascii="Times New Roman" w:hAnsi="Times New Roman" w:eastAsia="仿宋_GB2312"/>
          <w:sz w:val="30"/>
          <w:szCs w:val="30"/>
        </w:rPr>
      </w:pPr>
    </w:p>
    <w:p>
      <w:pPr>
        <w:pStyle w:val="47"/>
        <w:tabs>
          <w:tab w:val="left" w:pos="6480"/>
        </w:tabs>
        <w:spacing w:line="360" w:lineRule="auto"/>
        <w:rPr>
          <w:rFonts w:ascii="Times New Roman" w:hAnsi="Times New Roman" w:eastAsia="黑体"/>
          <w:sz w:val="30"/>
          <w:szCs w:val="30"/>
        </w:rPr>
      </w:pPr>
      <w:r>
        <w:rPr>
          <w:rFonts w:ascii="Times New Roman" w:hAnsi="Times New Roman" w:eastAsia="仿宋_GB2312"/>
          <w:sz w:val="30"/>
          <w:szCs w:val="30"/>
        </w:rPr>
        <w:t>附件7：</w:t>
      </w:r>
    </w:p>
    <w:p>
      <w:pPr>
        <w:pStyle w:val="47"/>
        <w:tabs>
          <w:tab w:val="left" w:pos="6480"/>
        </w:tabs>
        <w:spacing w:beforeLines="50" w:afterLines="50" w:line="440" w:lineRule="exact"/>
        <w:jc w:val="center"/>
        <w:rPr>
          <w:rFonts w:ascii="Times New Roman" w:hAnsi="Times New Roman" w:eastAsia="黑体"/>
          <w:sz w:val="30"/>
          <w:szCs w:val="30"/>
        </w:rPr>
      </w:pPr>
      <w:r>
        <w:rPr>
          <w:rFonts w:ascii="Times New Roman" w:hAnsi="Times New Roman" w:eastAsia="黑体"/>
          <w:sz w:val="30"/>
          <w:szCs w:val="30"/>
        </w:rPr>
        <w:t>预付款担保</w:t>
      </w:r>
    </w:p>
    <w:p>
      <w:pPr>
        <w:pStyle w:val="47"/>
        <w:tabs>
          <w:tab w:val="left" w:pos="6480"/>
        </w:tabs>
        <w:spacing w:line="360" w:lineRule="auto"/>
        <w:rPr>
          <w:rFonts w:ascii="Times New Roman" w:hAnsi="Times New Roman"/>
          <w:szCs w:val="21"/>
          <w:u w:val="single"/>
        </w:rPr>
      </w:pPr>
    </w:p>
    <w:p>
      <w:pPr>
        <w:pStyle w:val="47"/>
        <w:tabs>
          <w:tab w:val="left" w:pos="6480"/>
        </w:tabs>
        <w:spacing w:line="360" w:lineRule="auto"/>
        <w:rPr>
          <w:rFonts w:ascii="Times New Roman" w:hAnsi="Times New Roman"/>
          <w:szCs w:val="21"/>
        </w:rPr>
      </w:pPr>
      <w:r>
        <w:rPr>
          <w:rFonts w:ascii="Times New Roman" w:hAnsi="Times New Roman"/>
          <w:szCs w:val="21"/>
          <w:u w:val="single"/>
        </w:rPr>
        <w:t xml:space="preserve">         /           </w:t>
      </w:r>
      <w:r>
        <w:rPr>
          <w:rFonts w:ascii="Times New Roman" w:hAnsi="Times New Roman"/>
          <w:szCs w:val="21"/>
        </w:rPr>
        <w:t xml:space="preserve"> （发包人名称）：</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根据</w:t>
      </w:r>
      <w:r>
        <w:rPr>
          <w:rFonts w:ascii="Times New Roman" w:hAnsi="Times New Roman"/>
          <w:szCs w:val="21"/>
          <w:u w:val="single"/>
        </w:rPr>
        <w:t xml:space="preserve">     /            </w:t>
      </w:r>
      <w:r>
        <w:rPr>
          <w:rFonts w:ascii="Times New Roman" w:hAnsi="Times New Roman"/>
          <w:szCs w:val="21"/>
        </w:rPr>
        <w:t>（承包人名称）（以下称“承包人”）与</w:t>
      </w:r>
      <w:r>
        <w:rPr>
          <w:rFonts w:ascii="Times New Roman" w:hAnsi="Times New Roman"/>
          <w:szCs w:val="21"/>
          <w:u w:val="single"/>
        </w:rPr>
        <w:t xml:space="preserve">             /         </w:t>
      </w:r>
      <w:r>
        <w:rPr>
          <w:rFonts w:ascii="Times New Roman" w:hAnsi="Times New Roman"/>
          <w:szCs w:val="21"/>
        </w:rPr>
        <w:t>（发包人名称）（以下简称“发包人”）于年月日签订的（工程名称）《建设工程施工合同》，承包人按约定的金额向你方提交一份预付款担保，即有权得到你方支付相等金额的预付款。我方愿意就你方提供给承包人的预付款为承包人提供连带责任担保。</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1. 担保金额人民币（大写）元（¥）。</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2. 担保有效期自预付款支付给承包人起生效，至你方签发的进度款支付证书说明已完全扣清止。</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4. 你方和承包人按合同约定变更合同时，我方承担本保函规定的义务不变。</w:t>
      </w:r>
    </w:p>
    <w:p>
      <w:pPr>
        <w:pStyle w:val="47"/>
        <w:tabs>
          <w:tab w:val="left" w:pos="6480"/>
        </w:tabs>
        <w:spacing w:line="360" w:lineRule="auto"/>
        <w:ind w:firstLine="420" w:firstLineChars="200"/>
        <w:rPr>
          <w:rFonts w:ascii="Times New Roman" w:hAnsi="Times New Roman"/>
          <w:szCs w:val="21"/>
        </w:rPr>
      </w:pPr>
      <w:r>
        <w:rPr>
          <w:rFonts w:ascii="Times New Roman" w:hAnsi="Times New Roman"/>
          <w:szCs w:val="21"/>
        </w:rPr>
        <w:t>5. 因本保函发生的纠纷，可由双方协商解决，协商不成的，任何一方均可提请仲裁委员会仲裁。</w:t>
      </w:r>
    </w:p>
    <w:p>
      <w:pPr>
        <w:pStyle w:val="47"/>
        <w:tabs>
          <w:tab w:val="left" w:pos="6480"/>
        </w:tabs>
        <w:spacing w:line="360" w:lineRule="auto"/>
        <w:ind w:firstLine="420" w:firstLineChars="200"/>
        <w:jc w:val="left"/>
        <w:rPr>
          <w:rFonts w:ascii="Times New Roman" w:hAnsi="Times New Roman"/>
          <w:szCs w:val="21"/>
        </w:rPr>
      </w:pPr>
      <w:r>
        <w:rPr>
          <w:rFonts w:ascii="Times New Roman" w:hAnsi="Times New Roman"/>
          <w:szCs w:val="21"/>
        </w:rPr>
        <w:t>6. 本保函自我方法定代表人（或其授权代理人）签字并加盖公章之日起生效。</w:t>
      </w:r>
    </w:p>
    <w:p>
      <w:pPr>
        <w:pStyle w:val="47"/>
        <w:tabs>
          <w:tab w:val="left" w:pos="6480"/>
        </w:tabs>
        <w:spacing w:line="360" w:lineRule="auto"/>
        <w:rPr>
          <w:rFonts w:ascii="Times New Roman" w:hAnsi="Times New Roman"/>
          <w:szCs w:val="21"/>
        </w:rPr>
      </w:pPr>
    </w:p>
    <w:p>
      <w:pPr>
        <w:pStyle w:val="47"/>
        <w:tabs>
          <w:tab w:val="left" w:pos="6480"/>
        </w:tabs>
        <w:spacing w:line="360" w:lineRule="auto"/>
        <w:rPr>
          <w:rFonts w:ascii="Times New Roman" w:hAnsi="Times New Roman"/>
          <w:szCs w:val="21"/>
        </w:rPr>
      </w:pPr>
      <w:r>
        <w:rPr>
          <w:rFonts w:ascii="Times New Roman" w:hAnsi="Times New Roman"/>
          <w:szCs w:val="21"/>
        </w:rPr>
        <w:t>担保人：</w:t>
      </w:r>
      <w:r>
        <w:rPr>
          <w:rFonts w:ascii="Times New Roman" w:hAnsi="Times New Roman"/>
          <w:szCs w:val="21"/>
          <w:u w:val="single"/>
        </w:rPr>
        <w:t xml:space="preserve">            /              </w:t>
      </w:r>
      <w:r>
        <w:rPr>
          <w:rFonts w:ascii="Times New Roman" w:hAnsi="Times New Roman"/>
          <w:szCs w:val="21"/>
        </w:rPr>
        <w:t>（盖单位章）</w:t>
      </w:r>
    </w:p>
    <w:p>
      <w:pPr>
        <w:pStyle w:val="47"/>
        <w:tabs>
          <w:tab w:val="left" w:pos="6480"/>
        </w:tabs>
        <w:spacing w:line="360" w:lineRule="auto"/>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     </w:t>
      </w:r>
      <w:r>
        <w:rPr>
          <w:rFonts w:ascii="Times New Roman" w:hAnsi="Times New Roman"/>
          <w:szCs w:val="21"/>
        </w:rPr>
        <w:t>（签字）</w:t>
      </w:r>
    </w:p>
    <w:p>
      <w:pPr>
        <w:pStyle w:val="47"/>
        <w:tabs>
          <w:tab w:val="left" w:pos="6480"/>
        </w:tabs>
        <w:spacing w:line="360" w:lineRule="auto"/>
        <w:rPr>
          <w:rFonts w:ascii="Times New Roman" w:hAnsi="Times New Roman"/>
          <w:szCs w:val="21"/>
        </w:rPr>
      </w:pPr>
      <w:r>
        <w:rPr>
          <w:rFonts w:ascii="Times New Roman" w:hAnsi="Times New Roman"/>
          <w:szCs w:val="21"/>
        </w:rPr>
        <w:t>地    址：</w:t>
      </w:r>
    </w:p>
    <w:p>
      <w:pPr>
        <w:pStyle w:val="47"/>
        <w:tabs>
          <w:tab w:val="left" w:pos="6480"/>
        </w:tabs>
        <w:spacing w:line="360" w:lineRule="auto"/>
        <w:rPr>
          <w:rFonts w:ascii="Times New Roman" w:hAnsi="Times New Roman"/>
          <w:szCs w:val="21"/>
          <w:u w:val="single"/>
        </w:rPr>
      </w:pPr>
      <w:r>
        <w:rPr>
          <w:rFonts w:ascii="Times New Roman" w:hAnsi="Times New Roman"/>
          <w:szCs w:val="21"/>
        </w:rPr>
        <w:t>邮政编码：</w:t>
      </w:r>
    </w:p>
    <w:p>
      <w:pPr>
        <w:pStyle w:val="47"/>
        <w:tabs>
          <w:tab w:val="left" w:pos="6480"/>
        </w:tabs>
        <w:spacing w:line="360" w:lineRule="auto"/>
        <w:rPr>
          <w:rFonts w:ascii="Times New Roman" w:hAnsi="Times New Roman"/>
          <w:szCs w:val="21"/>
          <w:u w:val="single"/>
        </w:rPr>
      </w:pPr>
      <w:r>
        <w:rPr>
          <w:rFonts w:ascii="Times New Roman" w:hAnsi="Times New Roman"/>
          <w:szCs w:val="21"/>
        </w:rPr>
        <w:t>电    话：</w:t>
      </w:r>
    </w:p>
    <w:p>
      <w:pPr>
        <w:pStyle w:val="47"/>
        <w:tabs>
          <w:tab w:val="left" w:pos="6480"/>
        </w:tabs>
        <w:spacing w:line="360" w:lineRule="auto"/>
        <w:rPr>
          <w:rFonts w:ascii="Times New Roman" w:hAnsi="Times New Roman"/>
          <w:szCs w:val="21"/>
          <w:u w:val="single"/>
        </w:rPr>
      </w:pPr>
      <w:r>
        <w:rPr>
          <w:rFonts w:ascii="Times New Roman" w:hAnsi="Times New Roman"/>
          <w:szCs w:val="21"/>
        </w:rPr>
        <w:t>传    真：</w:t>
      </w:r>
    </w:p>
    <w:p>
      <w:pPr>
        <w:pStyle w:val="47"/>
        <w:tabs>
          <w:tab w:val="left" w:pos="6480"/>
        </w:tabs>
        <w:spacing w:line="360" w:lineRule="auto"/>
        <w:rPr>
          <w:rFonts w:ascii="Times New Roman" w:hAnsi="Times New Roman"/>
          <w:szCs w:val="21"/>
        </w:rPr>
      </w:pPr>
      <w:r>
        <w:rPr>
          <w:rFonts w:ascii="Times New Roman" w:hAnsi="Times New Roman"/>
          <w:szCs w:val="21"/>
        </w:rPr>
        <w:t>年月日</w:t>
      </w:r>
    </w:p>
    <w:p>
      <w:pPr>
        <w:pStyle w:val="47"/>
        <w:tabs>
          <w:tab w:val="left" w:pos="6480"/>
        </w:tabs>
        <w:spacing w:line="440" w:lineRule="exact"/>
        <w:rPr>
          <w:rFonts w:ascii="Times New Roman" w:hAnsi="Times New Roman"/>
          <w:sz w:val="30"/>
          <w:szCs w:val="30"/>
        </w:rPr>
      </w:pPr>
    </w:p>
    <w:p>
      <w:pPr>
        <w:pStyle w:val="47"/>
        <w:tabs>
          <w:tab w:val="left" w:pos="6480"/>
        </w:tabs>
        <w:spacing w:line="440" w:lineRule="exact"/>
        <w:rPr>
          <w:rFonts w:ascii="Times New Roman" w:hAnsi="Times New Roman"/>
          <w:sz w:val="30"/>
          <w:szCs w:val="30"/>
        </w:rPr>
      </w:pPr>
      <w:r>
        <w:rPr>
          <w:rFonts w:ascii="Times New Roman" w:hAnsi="Times New Roman"/>
          <w:sz w:val="30"/>
          <w:szCs w:val="30"/>
        </w:rPr>
        <w:t>附</w:t>
      </w:r>
      <w:bookmarkStart w:id="1203" w:name="_Toc296503226"/>
      <w:bookmarkStart w:id="1204" w:name="_Toc296347225"/>
      <w:bookmarkStart w:id="1205" w:name="_Toc296346727"/>
      <w:bookmarkStart w:id="1206" w:name="_Toc267261693"/>
      <w:bookmarkStart w:id="1207" w:name="_Toc296891054"/>
      <w:bookmarkStart w:id="1208" w:name="_Toc296891266"/>
      <w:bookmarkStart w:id="1209" w:name="_Toc296944565"/>
      <w:r>
        <w:rPr>
          <w:rFonts w:ascii="Times New Roman" w:hAnsi="Times New Roman"/>
          <w:sz w:val="30"/>
          <w:szCs w:val="30"/>
        </w:rPr>
        <w:t>件8：</w:t>
      </w:r>
      <w:bookmarkEnd w:id="1203"/>
      <w:bookmarkEnd w:id="1204"/>
      <w:bookmarkEnd w:id="1205"/>
      <w:bookmarkEnd w:id="1206"/>
      <w:bookmarkEnd w:id="1207"/>
      <w:bookmarkEnd w:id="1208"/>
      <w:bookmarkEnd w:id="1209"/>
    </w:p>
    <w:p>
      <w:pPr>
        <w:pStyle w:val="47"/>
        <w:tabs>
          <w:tab w:val="left" w:pos="6480"/>
        </w:tabs>
        <w:spacing w:beforeLines="50" w:afterLines="50" w:line="440" w:lineRule="exact"/>
        <w:jc w:val="center"/>
        <w:rPr>
          <w:rFonts w:ascii="Times New Roman" w:hAnsi="Times New Roman" w:eastAsia="黑体"/>
          <w:sz w:val="32"/>
          <w:szCs w:val="32"/>
        </w:rPr>
      </w:pPr>
      <w:r>
        <w:rPr>
          <w:rFonts w:ascii="Times New Roman" w:hAnsi="Times New Roman" w:eastAsia="黑体"/>
          <w:sz w:val="32"/>
          <w:szCs w:val="32"/>
        </w:rPr>
        <w:t>工程质量保修书（</w:t>
      </w:r>
      <w:r>
        <w:rPr>
          <w:rFonts w:hint="eastAsia" w:ascii="Times New Roman" w:hAnsi="Times New Roman" w:eastAsia="黑体"/>
          <w:sz w:val="32"/>
          <w:szCs w:val="32"/>
        </w:rPr>
        <w:t>市政公用</w:t>
      </w:r>
      <w:r>
        <w:rPr>
          <w:rFonts w:ascii="Times New Roman" w:hAnsi="Times New Roman" w:eastAsia="黑体"/>
          <w:sz w:val="32"/>
          <w:szCs w:val="32"/>
        </w:rPr>
        <w:t>工程）</w:t>
      </w:r>
    </w:p>
    <w:p>
      <w:pPr>
        <w:pStyle w:val="47"/>
        <w:tabs>
          <w:tab w:val="left" w:pos="6480"/>
        </w:tabs>
        <w:spacing w:beforeLines="50" w:afterLines="50" w:line="440" w:lineRule="exact"/>
        <w:jc w:val="center"/>
        <w:rPr>
          <w:rFonts w:ascii="Times New Roman" w:hAnsi="Times New Roman" w:eastAsia="黑体"/>
          <w:sz w:val="32"/>
          <w:szCs w:val="32"/>
        </w:rPr>
      </w:pPr>
    </w:p>
    <w:p>
      <w:pPr>
        <w:pStyle w:val="47"/>
        <w:spacing w:line="360" w:lineRule="auto"/>
        <w:ind w:firstLine="480" w:firstLineChars="200"/>
        <w:rPr>
          <w:rFonts w:ascii="Times New Roman" w:hAnsi="Times New Roman"/>
          <w:sz w:val="24"/>
        </w:rPr>
      </w:pPr>
      <w:r>
        <w:rPr>
          <w:rFonts w:ascii="Times New Roman" w:hAnsi="Times New Roman"/>
          <w:sz w:val="24"/>
        </w:rPr>
        <w:t>发包人（全称）：</w:t>
      </w:r>
      <w:r>
        <w:rPr>
          <w:rFonts w:ascii="Times New Roman" w:hAnsi="Times New Roman"/>
          <w:sz w:val="24"/>
          <w:u w:val="single"/>
        </w:rPr>
        <w:t>河池市城市投资建设发展有限公司</w:t>
      </w:r>
    </w:p>
    <w:p>
      <w:pPr>
        <w:pStyle w:val="47"/>
        <w:spacing w:line="360" w:lineRule="auto"/>
        <w:ind w:firstLine="480" w:firstLineChars="200"/>
        <w:rPr>
          <w:rFonts w:ascii="Times New Roman" w:hAnsi="Times New Roman"/>
          <w:sz w:val="24"/>
        </w:rPr>
      </w:pPr>
      <w:r>
        <w:rPr>
          <w:rFonts w:ascii="Times New Roman" w:hAnsi="Times New Roman"/>
          <w:sz w:val="24"/>
        </w:rPr>
        <w:t>承包人（全称）：</w:t>
      </w:r>
      <w:r>
        <w:rPr>
          <w:rFonts w:hint="eastAsia" w:ascii="Times New Roman" w:hAnsi="Times New Roman"/>
          <w:sz w:val="24"/>
          <w:u w:val="single"/>
        </w:rPr>
        <w:t>广西建工</w:t>
      </w:r>
      <w:r>
        <w:rPr>
          <w:rFonts w:ascii="Times New Roman" w:hAnsi="Times New Roman"/>
          <w:sz w:val="24"/>
          <w:u w:val="single"/>
        </w:rPr>
        <w:t>集团</w:t>
      </w:r>
      <w:r>
        <w:rPr>
          <w:rFonts w:hint="eastAsia" w:ascii="Times New Roman" w:hAnsi="Times New Roman"/>
          <w:sz w:val="24"/>
          <w:u w:val="single"/>
        </w:rPr>
        <w:t>第一</w:t>
      </w:r>
      <w:r>
        <w:rPr>
          <w:rFonts w:ascii="Times New Roman" w:hAnsi="Times New Roman"/>
          <w:sz w:val="24"/>
          <w:u w:val="single"/>
        </w:rPr>
        <w:t>建筑工程有限责任公司</w:t>
      </w:r>
    </w:p>
    <w:p>
      <w:pPr>
        <w:pStyle w:val="47"/>
        <w:spacing w:line="360" w:lineRule="auto"/>
        <w:rPr>
          <w:rFonts w:ascii="Times New Roman" w:hAnsi="Times New Roman"/>
          <w:sz w:val="24"/>
        </w:rPr>
      </w:pPr>
    </w:p>
    <w:p>
      <w:pPr>
        <w:pStyle w:val="47"/>
        <w:spacing w:line="360" w:lineRule="auto"/>
        <w:ind w:firstLine="420"/>
        <w:rPr>
          <w:rFonts w:ascii="Times New Roman" w:hAnsi="Times New Roman"/>
          <w:sz w:val="24"/>
        </w:rPr>
      </w:pPr>
      <w:r>
        <w:rPr>
          <w:rFonts w:ascii="Times New Roman" w:hAnsi="Times New Roman"/>
          <w:sz w:val="24"/>
        </w:rPr>
        <w:t>发包人和承包人根据《中华人民共和国建筑法》和《建设工程质量管理条例》，经协商一致就（工程全称）签订工程质量保修书。</w:t>
      </w:r>
    </w:p>
    <w:p>
      <w:pPr>
        <w:pStyle w:val="47"/>
        <w:spacing w:line="360" w:lineRule="auto"/>
        <w:ind w:firstLine="480" w:firstLineChars="200"/>
        <w:rPr>
          <w:rFonts w:ascii="Times New Roman" w:hAnsi="Times New Roman"/>
          <w:sz w:val="24"/>
        </w:rPr>
      </w:pPr>
      <w:r>
        <w:rPr>
          <w:rFonts w:ascii="Times New Roman" w:hAnsi="Times New Roman"/>
          <w:sz w:val="24"/>
        </w:rPr>
        <w:t>一、工程质量保修范围和内容</w:t>
      </w:r>
    </w:p>
    <w:p>
      <w:pPr>
        <w:pStyle w:val="47"/>
        <w:spacing w:line="360" w:lineRule="auto"/>
        <w:ind w:firstLine="480" w:firstLineChars="200"/>
        <w:rPr>
          <w:rFonts w:ascii="Times New Roman" w:hAnsi="Times New Roman"/>
          <w:sz w:val="24"/>
        </w:rPr>
      </w:pPr>
      <w:r>
        <w:rPr>
          <w:rFonts w:ascii="Times New Roman" w:hAnsi="Times New Roman"/>
          <w:sz w:val="24"/>
        </w:rPr>
        <w:t>承包人在质量保修期内，按照有关法律规定和合同约定，承担工程质量保修责任。</w:t>
      </w:r>
    </w:p>
    <w:p>
      <w:pPr>
        <w:pStyle w:val="47"/>
        <w:spacing w:line="360" w:lineRule="auto"/>
        <w:ind w:firstLine="480" w:firstLineChars="200"/>
        <w:rPr>
          <w:rFonts w:ascii="Times New Roman" w:hAnsi="Times New Roman"/>
          <w:sz w:val="24"/>
        </w:rPr>
      </w:pPr>
      <w:r>
        <w:rPr>
          <w:rFonts w:ascii="Times New Roman" w:hAnsi="Times New Roman"/>
          <w:sz w:val="24"/>
        </w:rPr>
        <w:t>质量保修范围包括</w:t>
      </w:r>
      <w:r>
        <w:rPr>
          <w:rFonts w:ascii="Times New Roman" w:hAnsi="Times New Roman"/>
          <w:b/>
          <w:sz w:val="24"/>
          <w:u w:val="thick"/>
        </w:rPr>
        <w:t>按设计图纸施工的全部工程</w:t>
      </w:r>
      <w:r>
        <w:rPr>
          <w:rFonts w:ascii="Times New Roman" w:hAnsi="Times New Roman"/>
          <w:sz w:val="24"/>
        </w:rPr>
        <w:t>，以及双方约定的其他项目。具体保修的内容，双方约定如下：</w:t>
      </w:r>
    </w:p>
    <w:p>
      <w:pPr>
        <w:pStyle w:val="47"/>
        <w:spacing w:line="360" w:lineRule="auto"/>
        <w:ind w:firstLine="420" w:firstLineChars="200"/>
        <w:rPr>
          <w:rFonts w:ascii="Times New Roman" w:hAnsi="Times New Roman"/>
          <w:sz w:val="24"/>
        </w:rPr>
      </w:pPr>
      <w:r>
        <w:rPr>
          <w:rFonts w:hint="eastAsia"/>
          <w:u w:val="single"/>
        </w:rPr>
        <w:t>在承包人承包范围内，属承包人责任造成的工程质量问题，由承包人承担保修责任。</w:t>
      </w:r>
      <w:r>
        <w:rPr>
          <w:rFonts w:ascii="Times New Roman" w:hAnsi="Times New Roman"/>
          <w:sz w:val="24"/>
        </w:rPr>
        <w:t>二、质量保修期</w:t>
      </w:r>
    </w:p>
    <w:p>
      <w:pPr>
        <w:pStyle w:val="47"/>
        <w:spacing w:line="360" w:lineRule="auto"/>
        <w:ind w:firstLine="480" w:firstLineChars="200"/>
        <w:rPr>
          <w:rFonts w:ascii="Times New Roman" w:hAnsi="Times New Roman"/>
          <w:sz w:val="24"/>
        </w:rPr>
      </w:pPr>
      <w:r>
        <w:rPr>
          <w:rFonts w:ascii="Times New Roman" w:hAnsi="Times New Roman"/>
          <w:sz w:val="24"/>
        </w:rPr>
        <w:t>根据《建设工程质量管理条例》及有关规定，工程的质量保修期如下：</w:t>
      </w:r>
    </w:p>
    <w:p>
      <w:pPr>
        <w:pStyle w:val="47"/>
        <w:spacing w:line="360" w:lineRule="auto"/>
        <w:ind w:firstLine="426"/>
        <w:rPr>
          <w:rFonts w:ascii="Times New Roman" w:hAnsi="Times New Roman"/>
          <w:sz w:val="24"/>
        </w:rPr>
      </w:pPr>
      <w:r>
        <w:rPr>
          <w:rFonts w:ascii="Times New Roman" w:hAnsi="Times New Roman"/>
          <w:sz w:val="24"/>
        </w:rPr>
        <w:t>1．桥梁工程为</w:t>
      </w:r>
      <w:r>
        <w:rPr>
          <w:rFonts w:hint="eastAsia" w:ascii="Times New Roman" w:hAnsi="Times New Roman"/>
          <w:sz w:val="24"/>
          <w:u w:val="single"/>
        </w:rPr>
        <w:t>/</w:t>
      </w:r>
      <w:r>
        <w:rPr>
          <w:rFonts w:ascii="Times New Roman" w:hAnsi="Times New Roman"/>
          <w:sz w:val="24"/>
        </w:rPr>
        <w:t>年；</w:t>
      </w:r>
    </w:p>
    <w:p>
      <w:pPr>
        <w:pStyle w:val="47"/>
        <w:spacing w:line="360" w:lineRule="auto"/>
        <w:ind w:firstLine="426"/>
        <w:rPr>
          <w:rFonts w:ascii="Times New Roman" w:hAnsi="Times New Roman"/>
          <w:sz w:val="24"/>
        </w:rPr>
      </w:pPr>
      <w:r>
        <w:rPr>
          <w:rFonts w:ascii="Times New Roman" w:hAnsi="Times New Roman"/>
          <w:sz w:val="24"/>
        </w:rPr>
        <w:t>2．道路工程为</w:t>
      </w:r>
      <w:r>
        <w:rPr>
          <w:rFonts w:hint="eastAsia" w:ascii="Times New Roman" w:hAnsi="Times New Roman"/>
          <w:sz w:val="24"/>
          <w:u w:val="single"/>
        </w:rPr>
        <w:t>/</w:t>
      </w:r>
      <w:r>
        <w:rPr>
          <w:rFonts w:ascii="Times New Roman" w:hAnsi="Times New Roman"/>
          <w:sz w:val="24"/>
        </w:rPr>
        <w:t>年；</w:t>
      </w:r>
    </w:p>
    <w:p>
      <w:pPr>
        <w:pStyle w:val="47"/>
        <w:spacing w:line="360" w:lineRule="auto"/>
        <w:ind w:firstLine="426"/>
        <w:rPr>
          <w:rFonts w:ascii="Times New Roman" w:hAnsi="Times New Roman"/>
          <w:sz w:val="24"/>
        </w:rPr>
      </w:pPr>
      <w:r>
        <w:rPr>
          <w:rFonts w:ascii="Times New Roman" w:hAnsi="Times New Roman"/>
          <w:sz w:val="24"/>
        </w:rPr>
        <w:t>3．排水（雨水）工程为</w:t>
      </w:r>
      <w:r>
        <w:rPr>
          <w:rFonts w:hint="eastAsia" w:ascii="Times New Roman" w:hAnsi="Times New Roman"/>
          <w:sz w:val="24"/>
          <w:u w:val="single"/>
        </w:rPr>
        <w:t>/</w:t>
      </w:r>
      <w:r>
        <w:rPr>
          <w:rFonts w:ascii="Times New Roman" w:hAnsi="Times New Roman"/>
          <w:sz w:val="24"/>
        </w:rPr>
        <w:t>年；</w:t>
      </w:r>
    </w:p>
    <w:p>
      <w:pPr>
        <w:pStyle w:val="47"/>
        <w:spacing w:line="360" w:lineRule="auto"/>
        <w:ind w:firstLine="360" w:firstLineChars="150"/>
        <w:rPr>
          <w:rFonts w:ascii="Times New Roman" w:hAnsi="Times New Roman"/>
          <w:sz w:val="24"/>
        </w:rPr>
      </w:pPr>
      <w:r>
        <w:rPr>
          <w:rFonts w:ascii="Times New Roman" w:hAnsi="Times New Roman"/>
          <w:sz w:val="24"/>
        </w:rPr>
        <w:t xml:space="preserve"> 4．绿化工程为 </w:t>
      </w:r>
      <w:r>
        <w:rPr>
          <w:rFonts w:ascii="Times New Roman" w:hAnsi="Times New Roman"/>
          <w:sz w:val="24"/>
          <w:u w:val="single"/>
        </w:rPr>
        <w:t>单位工程竣工验收合格后 1  年</w:t>
      </w:r>
      <w:r>
        <w:rPr>
          <w:rFonts w:ascii="Times New Roman" w:hAnsi="Times New Roman"/>
          <w:sz w:val="24"/>
        </w:rPr>
        <w:t>；</w:t>
      </w:r>
    </w:p>
    <w:p>
      <w:pPr>
        <w:pStyle w:val="47"/>
        <w:spacing w:line="360" w:lineRule="auto"/>
        <w:ind w:firstLine="426"/>
        <w:rPr>
          <w:rFonts w:ascii="Times New Roman" w:hAnsi="Times New Roman"/>
          <w:sz w:val="24"/>
        </w:rPr>
      </w:pPr>
      <w:r>
        <w:rPr>
          <w:rFonts w:ascii="Times New Roman" w:hAnsi="Times New Roman"/>
          <w:sz w:val="24"/>
        </w:rPr>
        <w:t>5. 地下防水工程为</w:t>
      </w:r>
      <w:r>
        <w:rPr>
          <w:rFonts w:hint="eastAsia" w:ascii="Times New Roman" w:hAnsi="Times New Roman"/>
          <w:sz w:val="24"/>
          <w:u w:val="single"/>
        </w:rPr>
        <w:t>/</w:t>
      </w:r>
      <w:r>
        <w:rPr>
          <w:rFonts w:ascii="Times New Roman" w:hAnsi="Times New Roman"/>
          <w:sz w:val="24"/>
        </w:rPr>
        <w:t>年；</w:t>
      </w:r>
    </w:p>
    <w:p>
      <w:pPr>
        <w:pStyle w:val="47"/>
        <w:spacing w:line="360" w:lineRule="auto"/>
        <w:ind w:firstLine="426"/>
        <w:rPr>
          <w:rFonts w:ascii="Times New Roman" w:hAnsi="Times New Roman"/>
          <w:sz w:val="24"/>
        </w:rPr>
      </w:pPr>
      <w:r>
        <w:rPr>
          <w:rFonts w:ascii="Times New Roman" w:hAnsi="Times New Roman"/>
          <w:sz w:val="24"/>
        </w:rPr>
        <w:t>6．其他附属工程为</w:t>
      </w:r>
      <w:r>
        <w:rPr>
          <w:rFonts w:hint="eastAsia" w:ascii="Times New Roman" w:hAnsi="Times New Roman"/>
          <w:sz w:val="24"/>
          <w:u w:val="single"/>
        </w:rPr>
        <w:t>/</w:t>
      </w:r>
      <w:r>
        <w:rPr>
          <w:rFonts w:ascii="Times New Roman" w:hAnsi="Times New Roman"/>
          <w:sz w:val="24"/>
        </w:rPr>
        <w:t>年；</w:t>
      </w:r>
    </w:p>
    <w:p>
      <w:pPr>
        <w:pStyle w:val="47"/>
        <w:spacing w:line="360" w:lineRule="auto"/>
        <w:ind w:firstLine="480" w:firstLineChars="200"/>
        <w:rPr>
          <w:rFonts w:ascii="Times New Roman" w:hAnsi="Times New Roman"/>
          <w:sz w:val="24"/>
        </w:rPr>
      </w:pPr>
      <w:r>
        <w:rPr>
          <w:rFonts w:ascii="Times New Roman" w:hAnsi="Times New Roman"/>
          <w:sz w:val="24"/>
        </w:rPr>
        <w:t>7．其他项目保修期限约定如下：</w:t>
      </w:r>
      <w:r>
        <w:rPr>
          <w:rFonts w:hint="eastAsia" w:ascii="Times New Roman" w:hAnsi="Times New Roman"/>
          <w:sz w:val="24"/>
          <w:u w:val="single"/>
        </w:rPr>
        <w:t>1</w:t>
      </w:r>
      <w:r>
        <w:rPr>
          <w:rFonts w:ascii="Times New Roman" w:hAnsi="Times New Roman"/>
          <w:sz w:val="24"/>
        </w:rPr>
        <w:t>年</w:t>
      </w:r>
    </w:p>
    <w:p>
      <w:pPr>
        <w:pStyle w:val="47"/>
        <w:spacing w:line="360" w:lineRule="auto"/>
        <w:ind w:firstLine="480" w:firstLineChars="200"/>
        <w:rPr>
          <w:rFonts w:ascii="Times New Roman" w:hAnsi="Times New Roman"/>
          <w:sz w:val="24"/>
        </w:rPr>
      </w:pPr>
      <w:r>
        <w:rPr>
          <w:rFonts w:ascii="Times New Roman" w:hAnsi="Times New Roman"/>
          <w:sz w:val="24"/>
        </w:rPr>
        <w:t>质量保修期自工程竣工验收合格之日起计算。</w:t>
      </w:r>
    </w:p>
    <w:p>
      <w:pPr>
        <w:pStyle w:val="47"/>
        <w:spacing w:line="360" w:lineRule="auto"/>
        <w:ind w:firstLine="480" w:firstLineChars="200"/>
        <w:rPr>
          <w:rFonts w:ascii="Times New Roman" w:hAnsi="Times New Roman"/>
          <w:sz w:val="24"/>
        </w:rPr>
      </w:pPr>
      <w:r>
        <w:rPr>
          <w:rFonts w:ascii="Times New Roman" w:hAnsi="Times New Roman"/>
          <w:sz w:val="24"/>
        </w:rPr>
        <w:t>三、缺陷责任期</w:t>
      </w:r>
    </w:p>
    <w:p>
      <w:pPr>
        <w:pStyle w:val="47"/>
        <w:spacing w:line="360" w:lineRule="auto"/>
        <w:ind w:firstLine="480" w:firstLineChars="200"/>
        <w:rPr>
          <w:rFonts w:ascii="Times New Roman" w:hAnsi="Times New Roman"/>
          <w:sz w:val="24"/>
        </w:rPr>
      </w:pPr>
      <w:r>
        <w:rPr>
          <w:rFonts w:ascii="Times New Roman" w:hAnsi="Times New Roman"/>
          <w:sz w:val="24"/>
        </w:rPr>
        <w:t>工程缺陷责任期为</w:t>
      </w:r>
      <w:r>
        <w:rPr>
          <w:rFonts w:hint="eastAsia" w:ascii="Times New Roman" w:hAnsi="Times New Roman"/>
          <w:sz w:val="24"/>
          <w:u w:val="single"/>
        </w:rPr>
        <w:t>24</w:t>
      </w:r>
      <w:r>
        <w:rPr>
          <w:rFonts w:ascii="Times New Roman" w:hAnsi="Times New Roman"/>
          <w:sz w:val="24"/>
        </w:rPr>
        <w:t>个月，缺陷责任期自工程竣工验收合格之日起计算。单位工程先于全部工程进行验收，单位工程缺陷责任期自单位工程验收合格之日起算。</w:t>
      </w:r>
    </w:p>
    <w:p>
      <w:pPr>
        <w:pStyle w:val="47"/>
        <w:spacing w:line="360" w:lineRule="auto"/>
        <w:ind w:firstLine="480" w:firstLineChars="200"/>
        <w:rPr>
          <w:rFonts w:ascii="Times New Roman" w:hAnsi="Times New Roman"/>
          <w:sz w:val="24"/>
        </w:rPr>
      </w:pPr>
      <w:r>
        <w:rPr>
          <w:rFonts w:ascii="Times New Roman" w:hAnsi="Times New Roman"/>
          <w:sz w:val="24"/>
        </w:rPr>
        <w:t>缺陷责任期终止后，发包人应退还剩余的质量保证金。</w:t>
      </w:r>
    </w:p>
    <w:p>
      <w:pPr>
        <w:pStyle w:val="47"/>
        <w:spacing w:line="360" w:lineRule="auto"/>
        <w:ind w:firstLine="480" w:firstLineChars="200"/>
        <w:rPr>
          <w:rFonts w:ascii="Times New Roman" w:hAnsi="Times New Roman"/>
          <w:sz w:val="24"/>
        </w:rPr>
      </w:pPr>
      <w:r>
        <w:rPr>
          <w:rFonts w:ascii="Times New Roman" w:hAnsi="Times New Roman"/>
          <w:sz w:val="24"/>
        </w:rPr>
        <w:t>四、质量保修责任</w:t>
      </w:r>
    </w:p>
    <w:p>
      <w:pPr>
        <w:pStyle w:val="47"/>
        <w:spacing w:line="360" w:lineRule="auto"/>
        <w:ind w:firstLine="480" w:firstLineChars="200"/>
        <w:rPr>
          <w:rFonts w:ascii="Times New Roman" w:hAnsi="Times New Roman"/>
          <w:sz w:val="24"/>
        </w:rPr>
      </w:pPr>
      <w:r>
        <w:rPr>
          <w:rFonts w:ascii="Times New Roman" w:hAnsi="Times New Roman"/>
          <w:sz w:val="24"/>
        </w:rPr>
        <w:t>1．属于保修范围、内容的项目，承包人应当在接到保修通知之日起</w:t>
      </w:r>
      <w:r>
        <w:rPr>
          <w:rFonts w:hint="eastAsia" w:ascii="Times New Roman" w:hAnsi="Times New Roman"/>
          <w:sz w:val="24"/>
          <w:u w:val="single"/>
        </w:rPr>
        <w:t>3个工作日</w:t>
      </w:r>
      <w:r>
        <w:rPr>
          <w:rFonts w:ascii="Times New Roman" w:hAnsi="Times New Roman"/>
          <w:sz w:val="24"/>
        </w:rPr>
        <w:t>内派人保修。承包人不在约定期限内派人保修的，发包人可以委托他人修理，修理费用从质量保</w:t>
      </w:r>
      <w:r>
        <w:rPr>
          <w:rFonts w:hint="eastAsia" w:ascii="Times New Roman" w:hAnsi="Times New Roman"/>
          <w:sz w:val="24"/>
          <w:szCs w:val="24"/>
        </w:rPr>
        <w:t>证</w:t>
      </w:r>
      <w:r>
        <w:rPr>
          <w:rFonts w:ascii="Times New Roman" w:hAnsi="Times New Roman"/>
          <w:sz w:val="24"/>
        </w:rPr>
        <w:t>金内扣除。</w:t>
      </w:r>
    </w:p>
    <w:p>
      <w:pPr>
        <w:pStyle w:val="47"/>
        <w:spacing w:line="360" w:lineRule="auto"/>
        <w:ind w:firstLine="480" w:firstLineChars="200"/>
        <w:rPr>
          <w:rFonts w:ascii="Times New Roman" w:hAnsi="Times New Roman"/>
          <w:sz w:val="24"/>
        </w:rPr>
      </w:pPr>
      <w:r>
        <w:rPr>
          <w:rFonts w:ascii="Times New Roman" w:hAnsi="Times New Roman"/>
          <w:sz w:val="24"/>
        </w:rPr>
        <w:t>2．发生紧急事故需抢修的，承包人在接到事故通知后，应当立即到达事故现场抢修。</w:t>
      </w:r>
    </w:p>
    <w:p>
      <w:pPr>
        <w:pStyle w:val="47"/>
        <w:spacing w:line="360" w:lineRule="auto"/>
        <w:ind w:firstLine="480" w:firstLineChars="200"/>
        <w:rPr>
          <w:rFonts w:ascii="Times New Roman" w:hAnsi="Times New Roman"/>
          <w:sz w:val="24"/>
        </w:rPr>
      </w:pPr>
      <w:r>
        <w:rPr>
          <w:rFonts w:ascii="Times New Roman" w:hAnsi="Times New Roman"/>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47"/>
        <w:spacing w:line="360" w:lineRule="auto"/>
        <w:ind w:firstLine="480" w:firstLineChars="200"/>
        <w:rPr>
          <w:rFonts w:ascii="Times New Roman" w:hAnsi="Times New Roman"/>
          <w:sz w:val="24"/>
        </w:rPr>
      </w:pPr>
      <w:r>
        <w:rPr>
          <w:rFonts w:ascii="Times New Roman" w:hAnsi="Times New Roman"/>
          <w:sz w:val="24"/>
        </w:rPr>
        <w:t>4．质量保修完成后，由发包人组织验收。</w:t>
      </w:r>
    </w:p>
    <w:p>
      <w:pPr>
        <w:pStyle w:val="47"/>
        <w:spacing w:line="360" w:lineRule="auto"/>
        <w:ind w:firstLine="480" w:firstLineChars="200"/>
        <w:rPr>
          <w:rFonts w:ascii="Times New Roman" w:hAnsi="Times New Roman"/>
          <w:sz w:val="24"/>
        </w:rPr>
      </w:pPr>
      <w:r>
        <w:rPr>
          <w:rFonts w:ascii="Times New Roman" w:hAnsi="Times New Roman"/>
          <w:sz w:val="24"/>
        </w:rPr>
        <w:t>五、保修费用</w:t>
      </w:r>
    </w:p>
    <w:p>
      <w:pPr>
        <w:pStyle w:val="47"/>
        <w:spacing w:line="360" w:lineRule="auto"/>
        <w:ind w:firstLine="480" w:firstLineChars="200"/>
        <w:rPr>
          <w:rFonts w:ascii="Times New Roman" w:hAnsi="Times New Roman"/>
          <w:sz w:val="24"/>
        </w:rPr>
      </w:pPr>
      <w:r>
        <w:rPr>
          <w:rFonts w:ascii="Times New Roman" w:hAnsi="Times New Roman"/>
          <w:sz w:val="24"/>
        </w:rPr>
        <w:t>保修费用由造成质量缺陷的责任方承担。</w:t>
      </w:r>
    </w:p>
    <w:p>
      <w:pPr>
        <w:pStyle w:val="47"/>
        <w:spacing w:line="360" w:lineRule="auto"/>
        <w:ind w:firstLine="480" w:firstLineChars="200"/>
        <w:rPr>
          <w:rFonts w:ascii="Times New Roman" w:hAnsi="Times New Roman"/>
          <w:sz w:val="24"/>
        </w:rPr>
      </w:pPr>
      <w:r>
        <w:rPr>
          <w:rFonts w:ascii="Times New Roman" w:hAnsi="Times New Roman"/>
          <w:sz w:val="24"/>
        </w:rPr>
        <w:t>六、双方约定的其他工程质量保修事项：</w:t>
      </w:r>
      <w:r>
        <w:rPr>
          <w:rFonts w:ascii="Times New Roman" w:hAnsi="Times New Roman"/>
          <w:bCs/>
          <w:sz w:val="24"/>
          <w:u w:val="thick"/>
        </w:rPr>
        <w:t>质量保</w:t>
      </w:r>
      <w:r>
        <w:rPr>
          <w:rFonts w:hint="eastAsia" w:ascii="Times New Roman" w:hAnsi="Times New Roman"/>
          <w:bCs/>
          <w:sz w:val="24"/>
          <w:u w:val="thick"/>
        </w:rPr>
        <w:t>证</w:t>
      </w:r>
      <w:r>
        <w:rPr>
          <w:rFonts w:ascii="Times New Roman" w:hAnsi="Times New Roman"/>
          <w:bCs/>
          <w:sz w:val="24"/>
          <w:u w:val="thick"/>
        </w:rPr>
        <w:t xml:space="preserve">金比例：工程结算价的3% </w:t>
      </w:r>
      <w:r>
        <w:rPr>
          <w:rFonts w:ascii="Times New Roman" w:hAnsi="Times New Roman"/>
          <w:sz w:val="24"/>
        </w:rPr>
        <w:t>。</w:t>
      </w:r>
    </w:p>
    <w:p>
      <w:pPr>
        <w:pStyle w:val="47"/>
        <w:spacing w:line="360" w:lineRule="auto"/>
        <w:ind w:firstLine="456" w:firstLineChars="190"/>
        <w:rPr>
          <w:rFonts w:ascii="Times New Roman" w:hAnsi="Times New Roman"/>
          <w:sz w:val="24"/>
        </w:rPr>
      </w:pPr>
      <w:r>
        <w:rPr>
          <w:rFonts w:ascii="Times New Roman" w:hAnsi="Times New Roman"/>
          <w:sz w:val="24"/>
        </w:rPr>
        <w:t>工程质量保修书由发包人、承包人在工程竣工验收前共同签署，作为施工合同附件，其有效期限至保修期满。</w:t>
      </w:r>
    </w:p>
    <w:p>
      <w:pPr>
        <w:pStyle w:val="47"/>
        <w:spacing w:line="360" w:lineRule="auto"/>
        <w:ind w:firstLine="420"/>
        <w:rPr>
          <w:rFonts w:ascii="Times New Roman" w:hAnsi="Times New Roman"/>
          <w:sz w:val="24"/>
        </w:rPr>
      </w:pPr>
    </w:p>
    <w:p>
      <w:pPr>
        <w:pStyle w:val="47"/>
        <w:tabs>
          <w:tab w:val="left" w:pos="5103"/>
        </w:tabs>
        <w:spacing w:line="440" w:lineRule="exact"/>
        <w:rPr>
          <w:rFonts w:ascii="Times New Roman" w:hAnsi="Times New Roman"/>
        </w:rPr>
      </w:pPr>
      <w:r>
        <w:rPr>
          <w:rFonts w:ascii="Times New Roman" w:hAnsi="Times New Roman"/>
        </w:rPr>
        <w:t>发包人：</w:t>
      </w:r>
      <w:r>
        <w:rPr>
          <w:rFonts w:ascii="Times New Roman" w:hAnsi="Times New Roman"/>
          <w:u w:val="single"/>
        </w:rPr>
        <w:t>河池市城市投资建设发展有限公司</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承包人：</w:t>
      </w:r>
    </w:p>
    <w:p>
      <w:pPr>
        <w:pStyle w:val="47"/>
        <w:spacing w:line="440" w:lineRule="exact"/>
        <w:ind w:firstLine="2100" w:firstLineChars="1000"/>
        <w:rPr>
          <w:rFonts w:ascii="Times New Roman" w:hAnsi="Times New Roman"/>
        </w:rPr>
      </w:pPr>
      <w:r>
        <w:rPr>
          <w:rFonts w:ascii="Times New Roman" w:hAnsi="Times New Roman"/>
        </w:rPr>
        <w:t>（公章）                      （公章）</w:t>
      </w:r>
    </w:p>
    <w:p>
      <w:pPr>
        <w:pStyle w:val="47"/>
        <w:spacing w:line="440" w:lineRule="exact"/>
        <w:ind w:firstLine="420" w:firstLineChars="200"/>
        <w:rPr>
          <w:rFonts w:ascii="Times New Roman" w:hAnsi="Times New Roman"/>
        </w:rPr>
      </w:pPr>
      <w:r>
        <w:rPr>
          <w:rFonts w:ascii="Times New Roman" w:hAnsi="Times New Roman"/>
        </w:rPr>
        <w:t>地址：</w:t>
      </w:r>
      <w:r>
        <w:rPr>
          <w:rFonts w:ascii="Times New Roman" w:hAnsi="Times New Roman"/>
          <w:u w:val="single"/>
        </w:rPr>
        <w:t xml:space="preserve">河池市城市投资建设发展有限公司 </w:t>
      </w:r>
      <w:r>
        <w:rPr>
          <w:rFonts w:ascii="Times New Roman" w:hAnsi="Times New Roman"/>
        </w:rPr>
        <w:t xml:space="preserve">     地址： </w:t>
      </w:r>
    </w:p>
    <w:p>
      <w:pPr>
        <w:pStyle w:val="47"/>
        <w:tabs>
          <w:tab w:val="left" w:pos="5103"/>
        </w:tabs>
        <w:spacing w:line="440" w:lineRule="exact"/>
        <w:ind w:firstLine="420" w:firstLineChars="200"/>
        <w:rPr>
          <w:rFonts w:ascii="Times New Roman" w:hAnsi="Times New Roman"/>
        </w:rPr>
      </w:pPr>
      <w:r>
        <w:rPr>
          <w:rFonts w:ascii="Times New Roman" w:hAnsi="Times New Roman"/>
        </w:rPr>
        <w:t>法定代表人（签字</w:t>
      </w:r>
      <w:r>
        <w:rPr>
          <w:rFonts w:hint="eastAsia" w:ascii="Times New Roman" w:hAnsi="Times New Roman"/>
        </w:rPr>
        <w:t>或</w:t>
      </w:r>
      <w:r>
        <w:rPr>
          <w:rFonts w:ascii="Times New Roman" w:hAnsi="Times New Roman"/>
        </w:rPr>
        <w:t xml:space="preserve">盖章）： </w:t>
      </w:r>
      <w:r>
        <w:rPr>
          <w:rFonts w:hint="eastAsia" w:ascii="Times New Roman" w:hAnsi="Times New Roman"/>
          <w:lang w:val="en-US" w:eastAsia="zh-CN"/>
        </w:rPr>
        <w:t xml:space="preserve">              </w:t>
      </w:r>
      <w:r>
        <w:rPr>
          <w:rFonts w:ascii="Times New Roman" w:hAnsi="Times New Roman"/>
        </w:rPr>
        <w:t xml:space="preserve"> 法定代表人（签字</w:t>
      </w:r>
      <w:r>
        <w:rPr>
          <w:rFonts w:hint="eastAsia" w:ascii="Times New Roman" w:hAnsi="Times New Roman"/>
        </w:rPr>
        <w:t>或</w:t>
      </w:r>
      <w:r>
        <w:rPr>
          <w:rFonts w:ascii="Times New Roman" w:hAnsi="Times New Roman"/>
        </w:rPr>
        <w:t>盖章）：</w:t>
      </w:r>
    </w:p>
    <w:p>
      <w:pPr>
        <w:pStyle w:val="47"/>
        <w:tabs>
          <w:tab w:val="left" w:pos="5103"/>
        </w:tabs>
        <w:spacing w:line="440" w:lineRule="exact"/>
        <w:ind w:firstLine="420" w:firstLineChars="200"/>
        <w:rPr>
          <w:rFonts w:ascii="Times New Roman" w:hAnsi="Times New Roman"/>
        </w:rPr>
      </w:pPr>
      <w:r>
        <w:rPr>
          <w:rFonts w:ascii="Times New Roman" w:hAnsi="Times New Roman"/>
        </w:rPr>
        <w:t>委托代理人（签字</w:t>
      </w:r>
      <w:r>
        <w:rPr>
          <w:rFonts w:hint="eastAsia" w:ascii="Times New Roman" w:hAnsi="Times New Roman"/>
        </w:rPr>
        <w:t>或</w:t>
      </w:r>
      <w:r>
        <w:rPr>
          <w:rFonts w:ascii="Times New Roman" w:hAnsi="Times New Roman"/>
        </w:rPr>
        <w:t xml:space="preserve">盖章）：  </w:t>
      </w:r>
      <w:r>
        <w:rPr>
          <w:rFonts w:hint="eastAsia" w:ascii="Times New Roman" w:hAnsi="Times New Roman"/>
          <w:lang w:val="en-US" w:eastAsia="zh-CN"/>
        </w:rPr>
        <w:t xml:space="preserve">              </w:t>
      </w:r>
      <w:r>
        <w:rPr>
          <w:rFonts w:ascii="Times New Roman" w:hAnsi="Times New Roman"/>
        </w:rPr>
        <w:t>委托代理人（签字</w:t>
      </w:r>
      <w:r>
        <w:rPr>
          <w:rFonts w:hint="eastAsia" w:ascii="Times New Roman" w:hAnsi="Times New Roman"/>
        </w:rPr>
        <w:t>或</w:t>
      </w:r>
      <w:r>
        <w:rPr>
          <w:rFonts w:ascii="Times New Roman" w:hAnsi="Times New Roman"/>
        </w:rPr>
        <w:t>盖章）：</w:t>
      </w:r>
    </w:p>
    <w:p>
      <w:pPr>
        <w:pStyle w:val="47"/>
        <w:spacing w:line="440" w:lineRule="exact"/>
        <w:ind w:firstLine="420" w:firstLineChars="200"/>
        <w:rPr>
          <w:rFonts w:ascii="Times New Roman" w:hAnsi="Times New Roman"/>
        </w:rPr>
      </w:pPr>
      <w:r>
        <w:rPr>
          <w:rFonts w:ascii="Times New Roman" w:hAnsi="Times New Roman"/>
        </w:rPr>
        <w:t>电话：</w:t>
      </w:r>
      <w:r>
        <w:rPr>
          <w:rFonts w:ascii="Times New Roman" w:hAnsi="Times New Roman"/>
          <w:u w:val="single"/>
        </w:rPr>
        <w:t xml:space="preserve"> 0778-2299815         </w:t>
      </w:r>
      <w:r>
        <w:rPr>
          <w:rFonts w:ascii="Times New Roman" w:hAnsi="Times New Roman"/>
        </w:rPr>
        <w:t xml:space="preserve">              电话：</w:t>
      </w:r>
    </w:p>
    <w:p>
      <w:pPr>
        <w:pStyle w:val="47"/>
        <w:spacing w:line="440" w:lineRule="exact"/>
        <w:ind w:firstLine="420" w:firstLineChars="200"/>
        <w:rPr>
          <w:rFonts w:ascii="Times New Roman" w:hAnsi="Times New Roman"/>
        </w:rPr>
      </w:pPr>
      <w:r>
        <w:rPr>
          <w:rFonts w:ascii="Times New Roman" w:hAnsi="Times New Roman"/>
        </w:rPr>
        <w:t>传真：</w:t>
      </w:r>
      <w:r>
        <w:rPr>
          <w:rFonts w:ascii="Times New Roman" w:hAnsi="Times New Roman"/>
          <w:u w:val="single"/>
        </w:rPr>
        <w:t xml:space="preserve"> 0778-2299815         </w:t>
      </w:r>
      <w:r>
        <w:rPr>
          <w:rFonts w:ascii="Times New Roman" w:hAnsi="Times New Roman"/>
        </w:rPr>
        <w:t xml:space="preserve">              传真：</w:t>
      </w:r>
    </w:p>
    <w:p>
      <w:pPr>
        <w:pStyle w:val="47"/>
        <w:spacing w:line="440" w:lineRule="exact"/>
        <w:ind w:firstLine="420" w:firstLineChars="200"/>
        <w:rPr>
          <w:rFonts w:ascii="Times New Roman" w:hAnsi="Times New Roman"/>
        </w:rPr>
      </w:pPr>
      <w:r>
        <w:rPr>
          <w:rFonts w:ascii="Times New Roman" w:hAnsi="Times New Roman"/>
        </w:rPr>
        <w:t>开户银行：</w:t>
      </w:r>
      <w:r>
        <w:rPr>
          <w:rFonts w:hint="eastAsia" w:ascii="Times New Roman" w:hAnsi="Times New Roman"/>
          <w:u w:val="single"/>
        </w:rPr>
        <w:t>国家开发银行广西分行</w:t>
      </w:r>
      <w:r>
        <w:rPr>
          <w:rFonts w:ascii="Times New Roman" w:hAnsi="Times New Roman"/>
        </w:rPr>
        <w:t xml:space="preserve">            开户银行：</w:t>
      </w:r>
    </w:p>
    <w:p>
      <w:pPr>
        <w:pStyle w:val="47"/>
        <w:spacing w:line="440" w:lineRule="exact"/>
        <w:ind w:firstLine="420" w:firstLineChars="200"/>
        <w:rPr>
          <w:rFonts w:ascii="Times New Roman" w:hAnsi="Times New Roman"/>
          <w:kern w:val="0"/>
        </w:rPr>
      </w:pPr>
      <w:r>
        <w:rPr>
          <w:rFonts w:ascii="Times New Roman" w:hAnsi="Times New Roman"/>
        </w:rPr>
        <w:t>账号：</w:t>
      </w:r>
      <w:r>
        <w:rPr>
          <w:rFonts w:hint="eastAsia" w:ascii="Times New Roman" w:hAnsi="Times New Roman"/>
          <w:u w:val="single"/>
        </w:rPr>
        <w:t>45101560045015130000</w:t>
      </w:r>
      <w:r>
        <w:rPr>
          <w:rFonts w:hint="eastAsia" w:ascii="Times New Roman" w:hAnsi="Times New Roman"/>
          <w:u w:val="single"/>
          <w:lang w:val="en-US" w:eastAsia="zh-CN"/>
        </w:rPr>
        <w:t xml:space="preserve">   </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账号：</w:t>
      </w:r>
    </w:p>
    <w:p>
      <w:pPr>
        <w:ind w:firstLine="420" w:firstLineChars="200"/>
      </w:pPr>
      <w:r>
        <w:rPr>
          <w:rFonts w:ascii="Times New Roman" w:hAnsi="Times New Roman"/>
        </w:rPr>
        <w:t>邮政编码：</w:t>
      </w:r>
      <w:r>
        <w:rPr>
          <w:rFonts w:ascii="Times New Roman" w:hAnsi="Times New Roman"/>
          <w:u w:val="single"/>
        </w:rPr>
        <w:t xml:space="preserve">547000            </w:t>
      </w:r>
      <w:r>
        <w:rPr>
          <w:rFonts w:ascii="Times New Roman" w:hAnsi="Times New Roman"/>
        </w:rPr>
        <w:t xml:space="preserve">              邮政编码</w:t>
      </w:r>
    </w:p>
    <w:bookmarkEnd w:id="0"/>
    <w:bookmarkEnd w:id="1"/>
    <w:bookmarkEnd w:id="2"/>
    <w:bookmarkEnd w:id="3"/>
    <w:p>
      <w:pPr>
        <w:spacing w:line="360" w:lineRule="exact"/>
        <w:rPr>
          <w:rFonts w:hint="default"/>
          <w:lang w:val="en-US" w:eastAsia="zh-CN"/>
        </w:rPr>
      </w:pPr>
    </w:p>
    <w:sectPr>
      <w:footerReference r:id="rId5"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3"/>
        <w:rFonts w:ascii="仿宋_GB2312" w:eastAsia="仿宋_GB2312"/>
      </w:rPr>
    </w:pPr>
    <w:r>
      <w:rPr>
        <w:rFonts w:hint="eastAsia" w:ascii="仿宋_GB2312" w:eastAsia="仿宋_GB2312"/>
      </w:rPr>
      <w:fldChar w:fldCharType="begin"/>
    </w:r>
    <w:r>
      <w:rPr>
        <w:rStyle w:val="13"/>
        <w:rFonts w:hint="eastAsia" w:ascii="仿宋_GB2312" w:eastAsia="仿宋_GB2312"/>
      </w:rPr>
      <w:instrText xml:space="preserve">PAGE  </w:instrText>
    </w:r>
    <w:r>
      <w:rPr>
        <w:rFonts w:hint="eastAsia" w:ascii="仿宋_GB2312" w:eastAsia="仿宋_GB2312"/>
      </w:rPr>
      <w:fldChar w:fldCharType="separate"/>
    </w:r>
    <w:r>
      <w:rPr>
        <w:rStyle w:val="13"/>
        <w:rFonts w:ascii="仿宋_GB2312" w:eastAsia="仿宋_GB2312"/>
      </w:rPr>
      <w:t>20</w:t>
    </w:r>
    <w:r>
      <w:rPr>
        <w:rFonts w:hint="eastAsia" w:ascii="仿宋_GB2312" w:eastAsia="仿宋_GB2312"/>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3"/>
      </w:rPr>
    </w:pPr>
    <w:r>
      <w:fldChar w:fldCharType="begin"/>
    </w:r>
    <w:r>
      <w:rPr>
        <w:rStyle w:val="13"/>
      </w:rPr>
      <w:instrText xml:space="preserve">PAGE  </w:instrText>
    </w:r>
    <w:r>
      <w:fldChar w:fldCharType="end"/>
    </w:r>
  </w:p>
  <w:p>
    <w:pPr>
      <w:pStyle w:val="2"/>
    </w:pPr>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F5A0A"/>
    <w:multiLevelType w:val="multilevel"/>
    <w:tmpl w:val="61AF5A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DD6597"/>
    <w:multiLevelType w:val="singleLevel"/>
    <w:tmpl w:val="6EDD6597"/>
    <w:lvl w:ilvl="0" w:tentative="0">
      <w:start w:val="7"/>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55BCA"/>
    <w:rsid w:val="01062EEC"/>
    <w:rsid w:val="02E91338"/>
    <w:rsid w:val="05C55124"/>
    <w:rsid w:val="07275C79"/>
    <w:rsid w:val="077F6467"/>
    <w:rsid w:val="0895702F"/>
    <w:rsid w:val="0A635435"/>
    <w:rsid w:val="0B0F2461"/>
    <w:rsid w:val="0B2A2CBA"/>
    <w:rsid w:val="0BBF1F9A"/>
    <w:rsid w:val="0C2B3807"/>
    <w:rsid w:val="0C6E127C"/>
    <w:rsid w:val="0CAF61E6"/>
    <w:rsid w:val="0FEE3864"/>
    <w:rsid w:val="0FF700B4"/>
    <w:rsid w:val="10397DFD"/>
    <w:rsid w:val="12C30C3D"/>
    <w:rsid w:val="154E0808"/>
    <w:rsid w:val="16D216EB"/>
    <w:rsid w:val="16E053C5"/>
    <w:rsid w:val="173C0FBE"/>
    <w:rsid w:val="19666B00"/>
    <w:rsid w:val="19B7492C"/>
    <w:rsid w:val="1A7A42D7"/>
    <w:rsid w:val="1AD02149"/>
    <w:rsid w:val="1AEE45EB"/>
    <w:rsid w:val="1C597F1C"/>
    <w:rsid w:val="1E434A77"/>
    <w:rsid w:val="1FF97E91"/>
    <w:rsid w:val="205645BD"/>
    <w:rsid w:val="215B345B"/>
    <w:rsid w:val="216850A3"/>
    <w:rsid w:val="23FF5FB3"/>
    <w:rsid w:val="25422785"/>
    <w:rsid w:val="26520E83"/>
    <w:rsid w:val="27906332"/>
    <w:rsid w:val="283D06F2"/>
    <w:rsid w:val="284C76EC"/>
    <w:rsid w:val="28A84FD9"/>
    <w:rsid w:val="297B5976"/>
    <w:rsid w:val="2B921DFB"/>
    <w:rsid w:val="2B9613E5"/>
    <w:rsid w:val="2BA37B93"/>
    <w:rsid w:val="2BF06927"/>
    <w:rsid w:val="2D7A7063"/>
    <w:rsid w:val="2DB33930"/>
    <w:rsid w:val="2FBE480E"/>
    <w:rsid w:val="3212718A"/>
    <w:rsid w:val="32B30CA6"/>
    <w:rsid w:val="33DF0CDE"/>
    <w:rsid w:val="34C23DFD"/>
    <w:rsid w:val="355C10DB"/>
    <w:rsid w:val="3577485D"/>
    <w:rsid w:val="36896076"/>
    <w:rsid w:val="37C715DE"/>
    <w:rsid w:val="39504E17"/>
    <w:rsid w:val="3ADD6062"/>
    <w:rsid w:val="3C2453FA"/>
    <w:rsid w:val="3C3346E6"/>
    <w:rsid w:val="3EC46DDF"/>
    <w:rsid w:val="3F183EC5"/>
    <w:rsid w:val="3F1B7739"/>
    <w:rsid w:val="3FA811A2"/>
    <w:rsid w:val="40E721D8"/>
    <w:rsid w:val="41736CB3"/>
    <w:rsid w:val="42B7246F"/>
    <w:rsid w:val="42FA41D6"/>
    <w:rsid w:val="44466E54"/>
    <w:rsid w:val="44531903"/>
    <w:rsid w:val="448B0D0B"/>
    <w:rsid w:val="45E3489D"/>
    <w:rsid w:val="468C111B"/>
    <w:rsid w:val="47967C86"/>
    <w:rsid w:val="47BE6C1B"/>
    <w:rsid w:val="48C133ED"/>
    <w:rsid w:val="49835ECE"/>
    <w:rsid w:val="49E62540"/>
    <w:rsid w:val="4B9627A8"/>
    <w:rsid w:val="4E755BCA"/>
    <w:rsid w:val="4ED82D9F"/>
    <w:rsid w:val="50BD2473"/>
    <w:rsid w:val="530B09AC"/>
    <w:rsid w:val="53FF0DCE"/>
    <w:rsid w:val="546F3499"/>
    <w:rsid w:val="556B04EB"/>
    <w:rsid w:val="59545718"/>
    <w:rsid w:val="5C731F41"/>
    <w:rsid w:val="5D1F3299"/>
    <w:rsid w:val="5D553EFE"/>
    <w:rsid w:val="5E793A63"/>
    <w:rsid w:val="5EBE4C04"/>
    <w:rsid w:val="5EF64138"/>
    <w:rsid w:val="60CA1531"/>
    <w:rsid w:val="69B508CF"/>
    <w:rsid w:val="6A781998"/>
    <w:rsid w:val="6B030D4C"/>
    <w:rsid w:val="6E8936A6"/>
    <w:rsid w:val="6EE7352D"/>
    <w:rsid w:val="6FDC1B6B"/>
    <w:rsid w:val="71467BE4"/>
    <w:rsid w:val="7306456B"/>
    <w:rsid w:val="755C6ADE"/>
    <w:rsid w:val="77C72540"/>
    <w:rsid w:val="77ED53BA"/>
    <w:rsid w:val="798B5A85"/>
    <w:rsid w:val="7AE90CE3"/>
    <w:rsid w:val="7B49774A"/>
    <w:rsid w:val="7FB4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Courier New"/>
      <w:sz w:val="18"/>
      <w:szCs w:val="20"/>
    </w:rPr>
  </w:style>
  <w:style w:type="paragraph" w:styleId="3">
    <w:name w:val="Normal Indent"/>
    <w:basedOn w:val="1"/>
    <w:qFormat/>
    <w:uiPriority w:val="0"/>
    <w:pPr>
      <w:widowControl/>
      <w:ind w:firstLine="420"/>
      <w:jc w:val="left"/>
    </w:pPr>
    <w:rPr>
      <w:sz w:val="20"/>
    </w:rPr>
  </w:style>
  <w:style w:type="paragraph" w:styleId="4">
    <w:name w:val="Body Text"/>
    <w:basedOn w:val="1"/>
    <w:next w:val="1"/>
    <w:qFormat/>
    <w:uiPriority w:val="0"/>
    <w:pPr>
      <w:spacing w:after="120"/>
    </w:pPr>
  </w:style>
  <w:style w:type="paragraph" w:styleId="5">
    <w:name w:val="Plain Text"/>
    <w:basedOn w:val="1"/>
    <w:qFormat/>
    <w:uiPriority w:val="0"/>
    <w:rPr>
      <w:rFonts w:ascii="宋体" w:hAnsi="Courier New"/>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sz w:val="24"/>
      <w:szCs w:val="24"/>
    </w:rPr>
  </w:style>
  <w:style w:type="character" w:styleId="13">
    <w:name w:val="page number"/>
    <w:basedOn w:val="11"/>
    <w:qFormat/>
    <w:uiPriority w:val="0"/>
  </w:style>
  <w:style w:type="character" w:styleId="14">
    <w:name w:val="FollowedHyperlink"/>
    <w:basedOn w:val="11"/>
    <w:qFormat/>
    <w:uiPriority w:val="0"/>
    <w:rPr>
      <w:color w:val="0084FF"/>
      <w:u w:val="none"/>
    </w:rPr>
  </w:style>
  <w:style w:type="character" w:styleId="15">
    <w:name w:val="Emphasis"/>
    <w:basedOn w:val="11"/>
    <w:qFormat/>
    <w:uiPriority w:val="0"/>
  </w:style>
  <w:style w:type="character" w:styleId="16">
    <w:name w:val="HTML Definition"/>
    <w:basedOn w:val="11"/>
    <w:qFormat/>
    <w:uiPriority w:val="0"/>
  </w:style>
  <w:style w:type="character" w:styleId="17">
    <w:name w:val="HTML Variable"/>
    <w:basedOn w:val="11"/>
    <w:qFormat/>
    <w:uiPriority w:val="0"/>
  </w:style>
  <w:style w:type="character" w:styleId="18">
    <w:name w:val="Hyperlink"/>
    <w:basedOn w:val="11"/>
    <w:qFormat/>
    <w:uiPriority w:val="0"/>
    <w:rPr>
      <w:color w:val="0084FF"/>
      <w:u w:val="none"/>
    </w:rPr>
  </w:style>
  <w:style w:type="character" w:styleId="19">
    <w:name w:val="HTML Code"/>
    <w:basedOn w:val="11"/>
    <w:qFormat/>
    <w:uiPriority w:val="0"/>
    <w:rPr>
      <w:rFonts w:ascii="monospace" w:hAnsi="monospace" w:eastAsia="monospace" w:cs="monospace"/>
      <w:sz w:val="21"/>
      <w:szCs w:val="21"/>
    </w:rPr>
  </w:style>
  <w:style w:type="character" w:styleId="20">
    <w:name w:val="HTML Cite"/>
    <w:basedOn w:val="11"/>
    <w:qFormat/>
    <w:uiPriority w:val="0"/>
  </w:style>
  <w:style w:type="character" w:styleId="21">
    <w:name w:val="HTML Keyboard"/>
    <w:basedOn w:val="11"/>
    <w:qFormat/>
    <w:uiPriority w:val="0"/>
    <w:rPr>
      <w:rFonts w:hint="default" w:ascii="monospace" w:hAnsi="monospace" w:eastAsia="monospace" w:cs="monospace"/>
      <w:sz w:val="21"/>
      <w:szCs w:val="21"/>
    </w:rPr>
  </w:style>
  <w:style w:type="character" w:styleId="22">
    <w:name w:val="HTML Sample"/>
    <w:basedOn w:val="11"/>
    <w:qFormat/>
    <w:uiPriority w:val="0"/>
    <w:rPr>
      <w:rFonts w:hint="default" w:ascii="monospace" w:hAnsi="monospace" w:eastAsia="monospace" w:cs="monospace"/>
      <w:sz w:val="21"/>
      <w:szCs w:val="21"/>
    </w:rPr>
  </w:style>
  <w:style w:type="paragraph" w:customStyle="1" w:styleId="23">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character" w:customStyle="1" w:styleId="24">
    <w:name w:val="first-child"/>
    <w:basedOn w:val="11"/>
    <w:qFormat/>
    <w:uiPriority w:val="0"/>
  </w:style>
  <w:style w:type="character" w:customStyle="1" w:styleId="25">
    <w:name w:val="active"/>
    <w:basedOn w:val="11"/>
    <w:qFormat/>
    <w:uiPriority w:val="0"/>
    <w:rPr>
      <w:color w:val="FFFFFF"/>
      <w:shd w:val="clear" w:fill="0084FF"/>
    </w:rPr>
  </w:style>
  <w:style w:type="character" w:customStyle="1" w:styleId="26">
    <w:name w:val="icon38"/>
    <w:basedOn w:val="11"/>
    <w:qFormat/>
    <w:uiPriority w:val="0"/>
  </w:style>
  <w:style w:type="character" w:customStyle="1" w:styleId="27">
    <w:name w:val="icon39"/>
    <w:basedOn w:val="11"/>
    <w:qFormat/>
    <w:uiPriority w:val="0"/>
  </w:style>
  <w:style w:type="character" w:customStyle="1" w:styleId="28">
    <w:name w:val="icon40"/>
    <w:basedOn w:val="11"/>
    <w:qFormat/>
    <w:uiPriority w:val="0"/>
  </w:style>
  <w:style w:type="character" w:customStyle="1" w:styleId="29">
    <w:name w:val="icon41"/>
    <w:basedOn w:val="11"/>
    <w:qFormat/>
    <w:uiPriority w:val="0"/>
  </w:style>
  <w:style w:type="character" w:customStyle="1" w:styleId="30">
    <w:name w:val="ask-txt"/>
    <w:basedOn w:val="11"/>
    <w:qFormat/>
    <w:uiPriority w:val="0"/>
    <w:rPr>
      <w:color w:val="999999"/>
    </w:rPr>
  </w:style>
  <w:style w:type="character" w:customStyle="1" w:styleId="31">
    <w:name w:val="icon"/>
    <w:basedOn w:val="11"/>
    <w:qFormat/>
    <w:uiPriority w:val="0"/>
  </w:style>
  <w:style w:type="character" w:customStyle="1" w:styleId="32">
    <w:name w:val="icon1"/>
    <w:basedOn w:val="11"/>
    <w:qFormat/>
    <w:uiPriority w:val="0"/>
  </w:style>
  <w:style w:type="character" w:customStyle="1" w:styleId="33">
    <w:name w:val="icon2"/>
    <w:basedOn w:val="11"/>
    <w:qFormat/>
    <w:uiPriority w:val="0"/>
  </w:style>
  <w:style w:type="character" w:customStyle="1" w:styleId="34">
    <w:name w:val="icon3"/>
    <w:basedOn w:val="11"/>
    <w:qFormat/>
    <w:uiPriority w:val="0"/>
  </w:style>
  <w:style w:type="character" w:customStyle="1" w:styleId="35">
    <w:name w:val="layui-layer-tabnow"/>
    <w:basedOn w:val="11"/>
    <w:qFormat/>
    <w:uiPriority w:val="0"/>
    <w:rPr>
      <w:bdr w:val="single" w:color="CCCCCC" w:sz="6" w:space="0"/>
      <w:shd w:val="clear" w:fill="FFFFFF"/>
    </w:rPr>
  </w:style>
  <w:style w:type="character" w:customStyle="1" w:styleId="36">
    <w:name w:val="fontstrikethrough"/>
    <w:basedOn w:val="11"/>
    <w:qFormat/>
    <w:uiPriority w:val="0"/>
    <w:rPr>
      <w:strike/>
    </w:rPr>
  </w:style>
  <w:style w:type="character" w:customStyle="1" w:styleId="37">
    <w:name w:val="fontborder"/>
    <w:basedOn w:val="11"/>
    <w:qFormat/>
    <w:uiPriority w:val="0"/>
    <w:rPr>
      <w:bdr w:val="single" w:color="000000" w:sz="6" w:space="0"/>
    </w:rPr>
  </w:style>
  <w:style w:type="paragraph" w:customStyle="1" w:styleId="38">
    <w:name w:val="Fließtext"/>
    <w:basedOn w:val="1"/>
    <w:qFormat/>
    <w:uiPriority w:val="99"/>
    <w:pPr>
      <w:overflowPunct w:val="0"/>
      <w:autoSpaceDE w:val="0"/>
      <w:autoSpaceDN w:val="0"/>
      <w:adjustRightInd w:val="0"/>
      <w:textAlignment w:val="baseline"/>
    </w:pPr>
    <w:rPr>
      <w:kern w:val="28"/>
      <w:szCs w:val="20"/>
    </w:rPr>
  </w:style>
  <w:style w:type="character" w:customStyle="1" w:styleId="39">
    <w:name w:val="font101"/>
    <w:basedOn w:val="11"/>
    <w:qFormat/>
    <w:uiPriority w:val="0"/>
    <w:rPr>
      <w:rFonts w:ascii="微软雅黑" w:hAnsi="微软雅黑" w:eastAsia="微软雅黑" w:cs="微软雅黑"/>
      <w:color w:val="FF0000"/>
      <w:sz w:val="20"/>
      <w:szCs w:val="20"/>
      <w:u w:val="none"/>
    </w:rPr>
  </w:style>
  <w:style w:type="character" w:customStyle="1" w:styleId="40">
    <w:name w:val="font112"/>
    <w:basedOn w:val="11"/>
    <w:qFormat/>
    <w:uiPriority w:val="0"/>
    <w:rPr>
      <w:rFonts w:hint="eastAsia" w:ascii="宋体" w:hAnsi="宋体" w:eastAsia="宋体" w:cs="宋体"/>
      <w:color w:val="FF0000"/>
      <w:sz w:val="20"/>
      <w:szCs w:val="20"/>
      <w:u w:val="none"/>
      <w:vertAlign w:val="superscript"/>
    </w:rPr>
  </w:style>
  <w:style w:type="paragraph" w:customStyle="1" w:styleId="41">
    <w:name w:val="表格文字"/>
    <w:basedOn w:val="1"/>
    <w:qFormat/>
    <w:uiPriority w:val="0"/>
    <w:pPr>
      <w:spacing w:before="25" w:after="25"/>
      <w:jc w:val="left"/>
    </w:pPr>
    <w:rPr>
      <w:bCs/>
      <w:spacing w:val="10"/>
      <w:kern w:val="0"/>
      <w:sz w:val="24"/>
      <w:szCs w:val="20"/>
    </w:rPr>
  </w:style>
  <w:style w:type="paragraph" w:customStyle="1" w:styleId="42">
    <w:name w:val="标题 1_0"/>
    <w:basedOn w:val="43"/>
    <w:next w:val="43"/>
    <w:qFormat/>
    <w:uiPriority w:val="9"/>
    <w:pPr>
      <w:keepNext/>
      <w:keepLines/>
      <w:spacing w:before="340" w:after="330" w:line="578" w:lineRule="auto"/>
      <w:outlineLvl w:val="0"/>
    </w:pPr>
    <w:rPr>
      <w:b/>
      <w:bCs/>
      <w:kern w:val="44"/>
      <w:sz w:val="44"/>
      <w:szCs w:val="44"/>
    </w:rPr>
  </w:style>
  <w:style w:type="paragraph" w:customStyle="1" w:styleId="43">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标题 4_0"/>
    <w:basedOn w:val="43"/>
    <w:next w:val="43"/>
    <w:unhideWhenUsed/>
    <w:qFormat/>
    <w:uiPriority w:val="9"/>
    <w:pPr>
      <w:keepNext/>
      <w:keepLines/>
      <w:spacing w:before="280" w:after="290" w:line="376" w:lineRule="auto"/>
      <w:outlineLvl w:val="3"/>
    </w:pPr>
    <w:rPr>
      <w:rFonts w:ascii="Cambria" w:hAnsi="Cambria"/>
      <w:b/>
      <w:bCs/>
      <w:sz w:val="28"/>
      <w:szCs w:val="28"/>
    </w:rPr>
  </w:style>
  <w:style w:type="paragraph" w:customStyle="1" w:styleId="45">
    <w:name w:val="List Paragraph"/>
    <w:basedOn w:val="1"/>
    <w:qFormat/>
    <w:uiPriority w:val="1"/>
    <w:pPr>
      <w:ind w:left="580" w:firstLine="480"/>
    </w:pPr>
    <w:rPr>
      <w:rFonts w:ascii="宋体" w:hAnsi="宋体" w:cs="宋体"/>
      <w:lang w:val="zh-CN" w:bidi="zh-CN"/>
    </w:rPr>
  </w:style>
  <w:style w:type="paragraph" w:customStyle="1" w:styleId="46">
    <w:name w:val="标题 2_0"/>
    <w:basedOn w:val="47"/>
    <w:next w:val="47"/>
    <w:qFormat/>
    <w:uiPriority w:val="9"/>
    <w:pPr>
      <w:keepNext/>
      <w:keepLines/>
      <w:spacing w:before="260" w:after="260" w:line="413" w:lineRule="auto"/>
      <w:outlineLvl w:val="1"/>
    </w:pPr>
    <w:rPr>
      <w:rFonts w:ascii="Cambria" w:hAnsi="Cambria"/>
      <w:b/>
      <w:bCs/>
      <w:kern w:val="0"/>
      <w:sz w:val="32"/>
      <w:szCs w:val="32"/>
    </w:rPr>
  </w:style>
  <w:style w:type="paragraph" w:customStyle="1" w:styleId="4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标题 3_0"/>
    <w:basedOn w:val="47"/>
    <w:next w:val="47"/>
    <w:qFormat/>
    <w:uiPriority w:val="9"/>
    <w:pPr>
      <w:keepNext/>
      <w:keepLines/>
      <w:spacing w:before="260" w:after="260" w:line="413" w:lineRule="auto"/>
      <w:outlineLvl w:val="2"/>
    </w:pPr>
    <w:rPr>
      <w:b/>
      <w:bCs/>
      <w:kern w:val="0"/>
      <w:sz w:val="32"/>
      <w:szCs w:val="32"/>
    </w:rPr>
  </w:style>
  <w:style w:type="paragraph" w:customStyle="1" w:styleId="49">
    <w:name w:val="纯文本_0"/>
    <w:basedOn w:val="47"/>
    <w:qFormat/>
    <w:uiPriority w:val="0"/>
    <w:rPr>
      <w:rFonts w:ascii="宋体" w:hAnsi="Courier New"/>
      <w:szCs w:val="24"/>
    </w:rPr>
  </w:style>
  <w:style w:type="paragraph" w:customStyle="1" w:styleId="50">
    <w:name w:val="正文文本_0"/>
    <w:basedOn w:val="47"/>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2020-03-25T01:38:00Z</dcterms:created>
  <dc:creator>川爺</dc:creator>
  <cp:lastModifiedBy>河池市城投公司</cp:lastModifiedBy>
  <cp:lastPrinted>2021-12-21T09:16:00Z</cp:lastPrinted>
  <dcterms:modified xsi:type="dcterms:W3CDTF">2022-01-05T01:13:09Z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A2FC467E775B419C83F83E109B4C81AA</vt:lpwstr>
  </property>
</Properties>
</file>