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 w:eastAsia="仿宋_GB2312"/>
          <w:b/>
          <w:bCs/>
          <w:sz w:val="32"/>
          <w:szCs w:val="32"/>
        </w:rPr>
      </w:pPr>
      <w:r>
        <w:rPr>
          <w:rFonts w:hint="eastAsia" w:ascii="仿宋_GB2312" w:hAnsi="仿宋" w:eastAsia="仿宋_GB2312"/>
          <w:b/>
          <w:bCs/>
          <w:sz w:val="32"/>
          <w:szCs w:val="32"/>
        </w:rPr>
        <w:t>附件1</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报价表</w:t>
      </w:r>
    </w:p>
    <w:p>
      <w:pPr>
        <w:spacing w:line="560" w:lineRule="exact"/>
        <w:jc w:val="left"/>
        <w:rPr>
          <w:rFonts w:ascii="宋体" w:hAnsi="宋体"/>
          <w:sz w:val="44"/>
          <w:szCs w:val="44"/>
        </w:rPr>
      </w:pPr>
    </w:p>
    <w:p>
      <w:pPr>
        <w:pStyle w:val="2"/>
        <w:rPr>
          <w:rFonts w:ascii="宋体" w:hAnsi="宋体"/>
          <w:sz w:val="44"/>
          <w:szCs w:val="44"/>
        </w:rPr>
      </w:pPr>
    </w:p>
    <w:p>
      <w:pPr>
        <w:pStyle w:val="2"/>
        <w:rPr>
          <w:rFonts w:ascii="宋体" w:hAnsi="宋体"/>
          <w:sz w:val="44"/>
          <w:szCs w:val="44"/>
        </w:rPr>
      </w:pPr>
    </w:p>
    <w:p>
      <w:pPr>
        <w:spacing w:line="560" w:lineRule="exact"/>
        <w:jc w:val="left"/>
        <w:rPr>
          <w:rFonts w:ascii="仿宋_GB2312" w:hAnsi="仿宋" w:eastAsia="仿宋_GB2312"/>
          <w:sz w:val="32"/>
          <w:szCs w:val="32"/>
          <w:u w:val="single"/>
        </w:rPr>
      </w:pPr>
      <w:r>
        <w:rPr>
          <w:rFonts w:hint="eastAsia" w:ascii="仿宋_GB2312" w:hAnsi="仿宋" w:eastAsia="仿宋_GB2312"/>
          <w:sz w:val="32"/>
          <w:szCs w:val="32"/>
        </w:rPr>
        <w:t>投标单位名称（公章）：</w:t>
      </w:r>
      <w:r>
        <w:rPr>
          <w:rFonts w:hint="eastAsia" w:ascii="仿宋_GB2312" w:hAnsi="仿宋" w:eastAsia="仿宋_GB2312"/>
          <w:sz w:val="32"/>
          <w:szCs w:val="32"/>
          <w:u w:val="single"/>
        </w:rPr>
        <w:t xml:space="preserve">                                </w:t>
      </w:r>
    </w:p>
    <w:p>
      <w:pPr>
        <w:spacing w:line="560" w:lineRule="exact"/>
        <w:jc w:val="left"/>
        <w:rPr>
          <w:rFonts w:ascii="仿宋_GB2312" w:hAnsi="仿宋" w:eastAsia="仿宋_GB2312"/>
          <w:sz w:val="32"/>
          <w:szCs w:val="32"/>
        </w:rPr>
      </w:pPr>
    </w:p>
    <w:p>
      <w:pPr>
        <w:spacing w:line="600" w:lineRule="exact"/>
        <w:ind w:left="1600" w:hanging="1600" w:hangingChars="500"/>
        <w:rPr>
          <w:rFonts w:ascii="仿宋_GB2312" w:hAnsi="仿宋_GB2312" w:eastAsia="仿宋_GB2312" w:cs="仿宋_GB2312"/>
          <w:sz w:val="32"/>
          <w:szCs w:val="32"/>
          <w:u w:val="single"/>
        </w:rPr>
      </w:pPr>
      <w:r>
        <w:rPr>
          <w:rFonts w:hint="eastAsia" w:ascii="仿宋_GB2312" w:hAnsi="仿宋" w:eastAsia="仿宋_GB2312"/>
          <w:sz w:val="32"/>
          <w:szCs w:val="32"/>
        </w:rPr>
        <w:t>项目名称：</w:t>
      </w:r>
      <w:r>
        <w:rPr>
          <w:rFonts w:hint="eastAsia" w:ascii="仿宋_GB2312" w:hAnsi="仿宋_GB2312" w:eastAsia="仿宋_GB2312" w:cs="仿宋_GB2312"/>
          <w:sz w:val="32"/>
          <w:szCs w:val="32"/>
          <w:u w:val="single"/>
          <w:lang w:val="en-US" w:eastAsia="zh-CN"/>
        </w:rPr>
        <w:t>河池市城西新区芝田片区路网基础设施建设工程C号路交通工程</w:t>
      </w:r>
      <w:r>
        <w:rPr>
          <w:rFonts w:hint="eastAsia" w:ascii="仿宋_GB2312" w:hAnsi="仿宋_GB2312" w:eastAsia="仿宋_GB2312" w:cs="仿宋_GB2312"/>
          <w:kern w:val="2"/>
          <w:sz w:val="32"/>
          <w:szCs w:val="32"/>
          <w:u w:val="single"/>
        </w:rPr>
        <w:t>（施工监理）</w:t>
      </w:r>
    </w:p>
    <w:p>
      <w:pPr>
        <w:spacing w:line="600" w:lineRule="exact"/>
        <w:jc w:val="left"/>
        <w:rPr>
          <w:rFonts w:ascii="仿宋_GB2312" w:hAnsi="仿宋_GB2312" w:eastAsia="仿宋_GB2312" w:cs="仿宋_GB2312"/>
          <w:sz w:val="32"/>
          <w:szCs w:val="32"/>
          <w:u w:val="single"/>
        </w:rPr>
      </w:pPr>
    </w:p>
    <w:p>
      <w:pPr>
        <w:spacing w:line="560" w:lineRule="exact"/>
        <w:jc w:val="left"/>
        <w:rPr>
          <w:rFonts w:ascii="仿宋_GB2312" w:hAnsi="仿宋" w:eastAsia="仿宋_GB2312"/>
          <w:sz w:val="32"/>
          <w:szCs w:val="32"/>
          <w:u w:val="single"/>
        </w:rPr>
      </w:pPr>
      <w:r>
        <w:rPr>
          <w:rFonts w:hint="eastAsia" w:ascii="仿宋_GB2312" w:hAnsi="仿宋" w:eastAsia="仿宋_GB2312"/>
          <w:sz w:val="32"/>
          <w:szCs w:val="32"/>
        </w:rPr>
        <w:t>项目编号：</w:t>
      </w:r>
      <w:r>
        <w:rPr>
          <w:rFonts w:hint="eastAsia" w:ascii="仿宋_GB2312" w:hAnsi="仿宋_GB2312" w:eastAsia="仿宋_GB2312" w:cs="仿宋_GB2312"/>
          <w:sz w:val="32"/>
          <w:szCs w:val="32"/>
          <w:u w:val="single"/>
        </w:rPr>
        <w:t>HCCT2021110</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号</w:t>
      </w:r>
      <w:r>
        <w:rPr>
          <w:rFonts w:hint="eastAsia" w:ascii="仿宋_GB2312" w:hAnsi="仿宋" w:eastAsia="仿宋_GB2312"/>
          <w:sz w:val="32"/>
          <w:szCs w:val="32"/>
          <w:u w:val="none"/>
        </w:rPr>
        <w:t xml:space="preserve"> </w:t>
      </w:r>
    </w:p>
    <w:p>
      <w:pPr>
        <w:pStyle w:val="2"/>
        <w:rPr>
          <w:rFonts w:ascii="仿宋_GB2312" w:hAnsi="仿宋" w:eastAsia="仿宋_GB2312"/>
          <w:sz w:val="32"/>
          <w:szCs w:val="32"/>
          <w:u w:val="single"/>
        </w:rPr>
      </w:pPr>
    </w:p>
    <w:p>
      <w:pPr>
        <w:pStyle w:val="2"/>
        <w:rPr>
          <w:rFonts w:ascii="仿宋_GB2312" w:hAnsi="仿宋" w:eastAsia="仿宋_GB2312"/>
          <w:sz w:val="32"/>
          <w:szCs w:val="32"/>
          <w:u w:val="single"/>
        </w:rPr>
      </w:pPr>
    </w:p>
    <w:p>
      <w:pPr>
        <w:jc w:val="left"/>
        <w:rPr>
          <w:rFonts w:ascii="仿宋_GB2312" w:hAnsi="仿宋" w:eastAsia="仿宋_GB2312"/>
          <w:sz w:val="32"/>
          <w:szCs w:val="32"/>
        </w:rPr>
      </w:pPr>
      <w:r>
        <w:rPr>
          <w:rFonts w:hint="eastAsia" w:ascii="仿宋_GB2312" w:hAnsi="仿宋" w:eastAsia="仿宋_GB2312"/>
          <w:sz w:val="32"/>
          <w:szCs w:val="32"/>
        </w:rPr>
        <w:t>报价金额（小写）：</w:t>
      </w:r>
      <w:r>
        <w:rPr>
          <w:rFonts w:hint="eastAsia" w:ascii="仿宋_GB2312" w:hAnsi="仿宋" w:eastAsia="仿宋_GB2312"/>
          <w:sz w:val="32"/>
          <w:szCs w:val="32"/>
          <w:u w:val="single"/>
        </w:rPr>
        <w:t xml:space="preserve">                                   </w:t>
      </w:r>
    </w:p>
    <w:p>
      <w:pPr>
        <w:ind w:firstLine="1280" w:firstLineChars="400"/>
        <w:jc w:val="left"/>
        <w:rPr>
          <w:rFonts w:ascii="仿宋_GB2312" w:hAnsi="仿宋" w:eastAsia="仿宋_GB2312"/>
          <w:sz w:val="32"/>
          <w:szCs w:val="32"/>
          <w:u w:val="single"/>
        </w:rPr>
      </w:pPr>
      <w:r>
        <w:rPr>
          <w:rFonts w:hint="eastAsia" w:ascii="仿宋_GB2312" w:hAnsi="仿宋" w:eastAsia="仿宋_GB2312"/>
          <w:sz w:val="32"/>
          <w:szCs w:val="32"/>
        </w:rPr>
        <w:t>（大写）：</w:t>
      </w:r>
      <w:r>
        <w:rPr>
          <w:rFonts w:hint="eastAsia" w:ascii="仿宋_GB2312" w:hAnsi="仿宋" w:eastAsia="仿宋_GB2312"/>
          <w:sz w:val="32"/>
          <w:szCs w:val="32"/>
          <w:u w:val="single"/>
        </w:rPr>
        <w:t xml:space="preserve">                                   </w:t>
      </w:r>
    </w:p>
    <w:p>
      <w:pPr>
        <w:pStyle w:val="2"/>
        <w:rPr>
          <w:rFonts w:ascii="仿宋_GB2312" w:hAnsi="仿宋" w:eastAsia="仿宋_GB2312"/>
          <w:sz w:val="32"/>
          <w:szCs w:val="32"/>
          <w:u w:val="single"/>
        </w:rPr>
      </w:pPr>
    </w:p>
    <w:p>
      <w:pPr>
        <w:pStyle w:val="17"/>
      </w:pPr>
    </w:p>
    <w:p>
      <w:pPr>
        <w:spacing w:line="560" w:lineRule="exact"/>
        <w:ind w:firstLine="4320" w:firstLineChars="1350"/>
        <w:jc w:val="left"/>
        <w:rPr>
          <w:rFonts w:ascii="仿宋_GB2312" w:hAnsi="仿宋" w:eastAsia="仿宋_GB2312"/>
          <w:sz w:val="32"/>
          <w:szCs w:val="32"/>
          <w:u w:val="single"/>
        </w:rPr>
      </w:pPr>
      <w:r>
        <w:rPr>
          <w:rFonts w:hint="eastAsia" w:ascii="仿宋_GB2312" w:hAnsi="仿宋" w:eastAsia="仿宋_GB2312"/>
          <w:sz w:val="32"/>
          <w:szCs w:val="32"/>
        </w:rPr>
        <w:t>日期：</w:t>
      </w:r>
      <w:r>
        <w:rPr>
          <w:rFonts w:hint="eastAsia" w:ascii="仿宋_GB2312" w:hAnsi="仿宋" w:eastAsia="仿宋_GB2312"/>
          <w:sz w:val="32"/>
          <w:szCs w:val="32"/>
          <w:u w:val="single"/>
        </w:rPr>
        <w:t xml:space="preserve">                  </w:t>
      </w:r>
    </w:p>
    <w:p>
      <w:pPr>
        <w:spacing w:line="560" w:lineRule="exact"/>
        <w:rPr>
          <w:rFonts w:ascii="仿宋_GB2312" w:eastAsia="仿宋_GB2312"/>
          <w:color w:val="FF0000"/>
        </w:rPr>
      </w:pPr>
    </w:p>
    <w:p>
      <w:pPr>
        <w:spacing w:line="560" w:lineRule="exact"/>
        <w:rPr>
          <w:rFonts w:ascii="仿宋_GB2312" w:eastAsia="仿宋_GB2312"/>
          <w:color w:val="FF0000"/>
        </w:rPr>
      </w:pPr>
    </w:p>
    <w:p>
      <w:pPr>
        <w:spacing w:line="560" w:lineRule="exact"/>
        <w:rPr>
          <w:rFonts w:ascii="仿宋_GB2312" w:eastAsia="仿宋_GB2312"/>
          <w:color w:val="FF0000"/>
        </w:rPr>
      </w:pPr>
      <w:r>
        <w:rPr>
          <w:rFonts w:hint="eastAsia" w:ascii="仿宋_GB2312" w:eastAsia="仿宋_GB2312"/>
          <w:color w:val="FF0000"/>
        </w:rPr>
        <w:t xml:space="preserve">    </w:t>
      </w:r>
    </w:p>
    <w:p>
      <w:pPr>
        <w:pStyle w:val="2"/>
        <w:rPr>
          <w:rFonts w:ascii="仿宋_GB2312" w:eastAsia="仿宋_GB2312"/>
        </w:rPr>
      </w:pPr>
    </w:p>
    <w:p>
      <w:pPr>
        <w:pStyle w:val="2"/>
        <w:rPr>
          <w:rFonts w:ascii="仿宋_GB2312" w:eastAsia="仿宋_GB2312"/>
        </w:rPr>
      </w:pPr>
    </w:p>
    <w:p>
      <w:pPr>
        <w:spacing w:line="360" w:lineRule="auto"/>
        <w:jc w:val="left"/>
        <w:rPr>
          <w:rFonts w:hint="eastAsia"/>
          <w:lang w:eastAsia="zh-CN"/>
        </w:rPr>
      </w:pPr>
      <w:bookmarkStart w:id="100" w:name="_GoBack"/>
      <w:bookmarkEnd w:id="100"/>
      <w:r>
        <w:rPr>
          <w:rFonts w:hint="eastAsia" w:ascii="仿宋_GB2312" w:eastAsia="仿宋_GB2312"/>
          <w:sz w:val="24"/>
          <w:szCs w:val="24"/>
        </w:rPr>
        <w:t>注：最高上限控制价为人民币</w:t>
      </w:r>
      <w:r>
        <w:rPr>
          <w:rFonts w:hint="eastAsia" w:ascii="仿宋_GB2312" w:eastAsia="仿宋_GB2312"/>
          <w:sz w:val="24"/>
          <w:szCs w:val="24"/>
          <w:lang w:val="en-US" w:eastAsia="zh-CN"/>
        </w:rPr>
        <w:t>21000.00</w:t>
      </w:r>
      <w:r>
        <w:rPr>
          <w:rFonts w:hint="eastAsia" w:ascii="仿宋_GB2312" w:eastAsia="仿宋_GB2312"/>
          <w:sz w:val="24"/>
          <w:szCs w:val="24"/>
        </w:rPr>
        <w:t>元，金额大小写要一致，否则无效。</w:t>
      </w:r>
    </w:p>
    <w:p>
      <w:pPr>
        <w:spacing w:line="360" w:lineRule="auto"/>
        <w:jc w:val="left"/>
        <w:rPr>
          <w:rFonts w:hint="eastAsia"/>
          <w:b/>
          <w:bCs/>
          <w:sz w:val="30"/>
          <w:szCs w:val="30"/>
        </w:rPr>
      </w:pPr>
    </w:p>
    <w:p>
      <w:pPr>
        <w:spacing w:line="360" w:lineRule="auto"/>
        <w:jc w:val="left"/>
        <w:rPr>
          <w:b/>
          <w:bCs/>
          <w:sz w:val="30"/>
          <w:szCs w:val="30"/>
        </w:rPr>
      </w:pPr>
      <w:r>
        <w:rPr>
          <w:rFonts w:hint="eastAsia"/>
          <w:b/>
          <w:bCs/>
          <w:sz w:val="30"/>
          <w:szCs w:val="30"/>
        </w:rPr>
        <w:t>附件2</w:t>
      </w:r>
    </w:p>
    <w:p>
      <w:pPr>
        <w:spacing w:line="360" w:lineRule="auto"/>
        <w:jc w:val="center"/>
        <w:rPr>
          <w:b/>
          <w:bCs/>
          <w:sz w:val="48"/>
          <w:szCs w:val="48"/>
        </w:rPr>
      </w:pPr>
    </w:p>
    <w:p>
      <w:pPr>
        <w:spacing w:line="360" w:lineRule="auto"/>
        <w:jc w:val="center"/>
        <w:rPr>
          <w:b/>
          <w:bCs/>
          <w:sz w:val="48"/>
          <w:szCs w:val="48"/>
        </w:rPr>
      </w:pPr>
    </w:p>
    <w:p>
      <w:pPr>
        <w:spacing w:line="360" w:lineRule="auto"/>
        <w:jc w:val="center"/>
        <w:rPr>
          <w:b/>
          <w:bCs/>
          <w:sz w:val="52"/>
          <w:szCs w:val="52"/>
        </w:rPr>
      </w:pPr>
      <w:r>
        <w:rPr>
          <w:rFonts w:hAnsi="宋体"/>
          <w:b/>
          <w:bCs/>
          <w:sz w:val="52"/>
          <w:szCs w:val="52"/>
        </w:rPr>
        <w:t>建设工程监理合同</w:t>
      </w:r>
    </w:p>
    <w:p>
      <w:pPr>
        <w:spacing w:line="360" w:lineRule="auto"/>
        <w:jc w:val="center"/>
        <w:rPr>
          <w:bCs/>
          <w:sz w:val="48"/>
          <w:szCs w:val="48"/>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rPr>
          <w:b/>
          <w:bCs/>
          <w:sz w:val="24"/>
        </w:rPr>
      </w:pPr>
    </w:p>
    <w:p>
      <w:pPr>
        <w:spacing w:line="360" w:lineRule="auto"/>
        <w:jc w:val="center"/>
        <w:rPr>
          <w:b/>
          <w:bCs/>
          <w:sz w:val="24"/>
        </w:rPr>
      </w:pPr>
    </w:p>
    <w:p>
      <w:pPr>
        <w:spacing w:line="360" w:lineRule="auto"/>
        <w:jc w:val="both"/>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rPr>
          <w:b/>
          <w:bCs/>
          <w:sz w:val="24"/>
        </w:rPr>
      </w:pPr>
    </w:p>
    <w:p>
      <w:pPr>
        <w:spacing w:line="360" w:lineRule="auto"/>
        <w:rPr>
          <w:b/>
          <w:bCs/>
          <w:sz w:val="24"/>
        </w:rPr>
      </w:pPr>
    </w:p>
    <w:p>
      <w:pPr>
        <w:spacing w:line="360" w:lineRule="auto"/>
        <w:rPr>
          <w:b/>
          <w:bCs/>
          <w:sz w:val="24"/>
        </w:rPr>
      </w:pPr>
    </w:p>
    <w:p>
      <w:pPr>
        <w:ind w:firstLine="2731" w:firstLineChars="850"/>
        <w:rPr>
          <w:b/>
        </w:rPr>
      </w:pPr>
      <w:r>
        <w:rPr>
          <w:b/>
          <w:bCs/>
          <w:sz w:val="32"/>
          <w:szCs w:val="32"/>
        </w:rPr>
        <w:t xml:space="preserve"> </w:t>
      </w:r>
      <w:r>
        <w:rPr>
          <w:rFonts w:hAnsi="宋体"/>
          <w:b/>
          <w:bCs/>
          <w:sz w:val="32"/>
          <w:szCs w:val="32"/>
        </w:rPr>
        <w:t>住房和城乡建设部</w:t>
      </w:r>
    </w:p>
    <w:p>
      <w:pPr>
        <w:jc w:val="center"/>
        <w:rPr>
          <w:b/>
          <w:sz w:val="32"/>
          <w:szCs w:val="32"/>
        </w:rPr>
      </w:pPr>
      <w:r>
        <w:rPr>
          <w:b/>
        </w:rPr>
        <w:t xml:space="preserve">                                     </w:t>
      </w:r>
      <w:r>
        <w:rPr>
          <w:rFonts w:hAnsi="宋体"/>
          <w:b/>
          <w:sz w:val="32"/>
          <w:szCs w:val="32"/>
        </w:rPr>
        <w:t>制定</w:t>
      </w:r>
    </w:p>
    <w:p>
      <w:pPr>
        <w:ind w:firstLine="2409" w:firstLineChars="750"/>
        <w:rPr>
          <w:b/>
          <w:sz w:val="32"/>
          <w:szCs w:val="32"/>
        </w:rPr>
      </w:pPr>
      <w:r>
        <w:rPr>
          <w:b/>
          <w:bCs/>
          <w:sz w:val="32"/>
          <w:szCs w:val="32"/>
        </w:rPr>
        <w:t xml:space="preserve"> </w:t>
      </w:r>
      <w:r>
        <w:rPr>
          <w:rFonts w:hAnsi="宋体"/>
          <w:b/>
          <w:bCs/>
          <w:sz w:val="32"/>
          <w:szCs w:val="32"/>
        </w:rPr>
        <w:t>国家工商行政管理总局</w:t>
      </w:r>
    </w:p>
    <w:p>
      <w:pPr>
        <w:pStyle w:val="3"/>
        <w:keepNext w:val="0"/>
        <w:keepLines w:val="0"/>
        <w:sectPr>
          <w:footerReference r:id="rId3" w:type="first"/>
          <w:pgSz w:w="11907" w:h="16840"/>
          <w:pgMar w:top="2098" w:right="1474" w:bottom="1440" w:left="1587" w:header="567" w:footer="591" w:gutter="0"/>
          <w:cols w:space="720" w:num="1"/>
          <w:docGrid w:linePitch="312" w:charSpace="0"/>
        </w:sectPr>
      </w:pPr>
    </w:p>
    <w:p>
      <w:pPr>
        <w:pStyle w:val="3"/>
      </w:pPr>
      <w:bookmarkStart w:id="0" w:name="_Toc459567800"/>
      <w:bookmarkStart w:id="1" w:name="_Toc392940990"/>
      <w:bookmarkStart w:id="2" w:name="_Toc20323400"/>
      <w:r>
        <w:t>第一部分  协议书</w:t>
      </w:r>
      <w:bookmarkEnd w:id="0"/>
      <w:bookmarkEnd w:id="1"/>
      <w:bookmarkEnd w:id="2"/>
    </w:p>
    <w:p>
      <w:pPr>
        <w:adjustRightInd w:val="0"/>
        <w:snapToGrid w:val="0"/>
        <w:spacing w:line="360" w:lineRule="auto"/>
        <w:ind w:firstLine="422" w:firstLineChars="200"/>
        <w:rPr>
          <w:b/>
          <w:szCs w:val="21"/>
        </w:rPr>
      </w:pPr>
      <w:r>
        <w:rPr>
          <w:rFonts w:hAnsi="宋体"/>
          <w:b/>
          <w:szCs w:val="21"/>
        </w:rPr>
        <w:t>委托人（全称）：</w:t>
      </w:r>
      <w:r>
        <w:rPr>
          <w:rFonts w:hint="eastAsia"/>
          <w:b/>
          <w:szCs w:val="21"/>
          <w:u w:val="single"/>
        </w:rPr>
        <w:t>河池市城市投资建设发展有限公司</w:t>
      </w:r>
      <w:r>
        <w:rPr>
          <w:b/>
          <w:szCs w:val="21"/>
          <w:u w:val="single"/>
        </w:rPr>
        <w:t xml:space="preserve">  </w:t>
      </w:r>
    </w:p>
    <w:p>
      <w:pPr>
        <w:adjustRightInd w:val="0"/>
        <w:snapToGrid w:val="0"/>
        <w:spacing w:line="360" w:lineRule="auto"/>
        <w:ind w:firstLine="422" w:firstLineChars="200"/>
        <w:rPr>
          <w:szCs w:val="21"/>
        </w:rPr>
      </w:pPr>
      <w:r>
        <w:rPr>
          <w:rFonts w:hAnsi="宋体"/>
          <w:b/>
          <w:szCs w:val="21"/>
        </w:rPr>
        <w:t>监理人（全称）：</w:t>
      </w:r>
      <w:r>
        <w:rPr>
          <w:b/>
          <w:szCs w:val="21"/>
          <w:u w:val="single"/>
        </w:rPr>
        <w:t xml:space="preserve">                                </w:t>
      </w:r>
    </w:p>
    <w:p>
      <w:pPr>
        <w:adjustRightInd w:val="0"/>
        <w:snapToGrid w:val="0"/>
        <w:spacing w:line="360" w:lineRule="auto"/>
        <w:ind w:firstLine="420" w:firstLineChars="200"/>
        <w:rPr>
          <w:b/>
          <w:szCs w:val="21"/>
        </w:rPr>
      </w:pPr>
      <w:r>
        <w:rPr>
          <w:rFonts w:hAnsi="宋体"/>
          <w:szCs w:val="21"/>
        </w:rPr>
        <w:t>根据《中华人民共和国</w:t>
      </w:r>
      <w:r>
        <w:rPr>
          <w:rFonts w:hint="eastAsia" w:hAnsi="宋体"/>
          <w:szCs w:val="21"/>
        </w:rPr>
        <w:t>民法典</w:t>
      </w:r>
      <w:r>
        <w:rPr>
          <w:rFonts w:hAnsi="宋体"/>
          <w:szCs w:val="21"/>
        </w:rPr>
        <w:t>》、《中华人民共和国建筑法》及其他有关法律、法规，遵循平等、自愿、公平和诚信的原则，双方就下述工程委托监理与相关服务事项协商一致，订立本合同</w:t>
      </w:r>
      <w:r>
        <w:rPr>
          <w:rFonts w:hAnsi="宋体"/>
          <w:b/>
          <w:szCs w:val="21"/>
        </w:rPr>
        <w:t>。</w:t>
      </w:r>
    </w:p>
    <w:p>
      <w:pPr>
        <w:spacing w:line="360" w:lineRule="auto"/>
        <w:ind w:firstLine="422" w:firstLineChars="200"/>
        <w:outlineLvl w:val="0"/>
        <w:rPr>
          <w:b/>
        </w:rPr>
      </w:pPr>
      <w:bookmarkStart w:id="3" w:name="_Toc473030494"/>
      <w:bookmarkStart w:id="4" w:name="_Toc459567801"/>
      <w:bookmarkStart w:id="5" w:name="_Toc20323401"/>
      <w:bookmarkStart w:id="6" w:name="_Toc349554752"/>
      <w:bookmarkStart w:id="7" w:name="_Toc488850360"/>
      <w:r>
        <w:rPr>
          <w:b/>
        </w:rPr>
        <w:t>一、工程概况</w:t>
      </w:r>
      <w:bookmarkEnd w:id="3"/>
      <w:bookmarkEnd w:id="4"/>
      <w:bookmarkEnd w:id="5"/>
      <w:bookmarkEnd w:id="6"/>
      <w:bookmarkEnd w:id="7"/>
    </w:p>
    <w:p>
      <w:pPr>
        <w:adjustRightInd w:val="0"/>
        <w:snapToGrid w:val="0"/>
        <w:spacing w:line="360" w:lineRule="auto"/>
        <w:ind w:firstLine="420" w:firstLineChars="200"/>
        <w:rPr>
          <w:szCs w:val="21"/>
        </w:rPr>
      </w:pPr>
      <w:r>
        <w:rPr>
          <w:szCs w:val="21"/>
        </w:rPr>
        <w:t xml:space="preserve">1. </w:t>
      </w:r>
      <w:r>
        <w:rPr>
          <w:rFonts w:hint="eastAsia" w:hAnsi="宋体"/>
          <w:szCs w:val="21"/>
        </w:rPr>
        <w:t>项目</w:t>
      </w:r>
      <w:r>
        <w:rPr>
          <w:rFonts w:hAnsi="宋体"/>
          <w:szCs w:val="21"/>
        </w:rPr>
        <w:t>名称：</w:t>
      </w:r>
      <w:r>
        <w:rPr>
          <w:rFonts w:hint="eastAsia" w:ascii="宋体" w:hAnsi="宋体" w:cs="宋体"/>
          <w:szCs w:val="21"/>
        </w:rPr>
        <w:t>河池市城西新区芝田片区路网基础设施建设工程C号路交通工程</w:t>
      </w:r>
    </w:p>
    <w:p>
      <w:pPr>
        <w:adjustRightInd w:val="0"/>
        <w:snapToGrid w:val="0"/>
        <w:spacing w:line="360" w:lineRule="auto"/>
        <w:ind w:firstLine="420" w:firstLineChars="200"/>
        <w:rPr>
          <w:szCs w:val="21"/>
        </w:rPr>
      </w:pPr>
      <w:r>
        <w:rPr>
          <w:szCs w:val="21"/>
        </w:rPr>
        <w:t xml:space="preserve">2. </w:t>
      </w:r>
      <w:r>
        <w:rPr>
          <w:rFonts w:hAnsi="宋体"/>
          <w:szCs w:val="21"/>
        </w:rPr>
        <w:t>工程地点：</w:t>
      </w:r>
      <w:r>
        <w:rPr>
          <w:rFonts w:hint="eastAsia"/>
          <w:szCs w:val="21"/>
          <w:u w:val="single"/>
        </w:rPr>
        <w:t>河池市金城江区</w:t>
      </w:r>
      <w:r>
        <w:rPr>
          <w:rFonts w:hint="eastAsia"/>
          <w:szCs w:val="21"/>
          <w:u w:val="single"/>
          <w:lang w:val="en-US" w:eastAsia="zh-CN"/>
        </w:rPr>
        <w:t>城西片</w:t>
      </w:r>
      <w:r>
        <w:rPr>
          <w:rFonts w:hint="eastAsia"/>
          <w:szCs w:val="21"/>
          <w:u w:val="single"/>
        </w:rPr>
        <w:t>区</w:t>
      </w:r>
      <w:r>
        <w:rPr>
          <w:rFonts w:hAnsi="宋体"/>
          <w:szCs w:val="21"/>
        </w:rPr>
        <w:t>；</w:t>
      </w:r>
    </w:p>
    <w:p>
      <w:pPr>
        <w:adjustRightInd w:val="0"/>
        <w:snapToGrid w:val="0"/>
        <w:spacing w:line="360" w:lineRule="auto"/>
        <w:ind w:firstLine="420" w:firstLineChars="200"/>
        <w:rPr>
          <w:szCs w:val="21"/>
        </w:rPr>
      </w:pPr>
      <w:r>
        <w:rPr>
          <w:szCs w:val="21"/>
        </w:rPr>
        <w:t xml:space="preserve">3. </w:t>
      </w:r>
      <w:r>
        <w:rPr>
          <w:rFonts w:hAnsi="宋体"/>
          <w:szCs w:val="21"/>
        </w:rPr>
        <w:t>工程规模：</w:t>
      </w:r>
      <w:r>
        <w:rPr>
          <w:rFonts w:hint="eastAsia" w:ascii="宋体" w:hAnsi="宋体" w:cs="宋体"/>
          <w:szCs w:val="21"/>
          <w:u w:val="single"/>
        </w:rPr>
        <w:t>本项目为C号路与城西大道十字路口交通工程（简称“C号路交通工程”），主要建设内容包括标志标线工程、信号灯及智能交通工程及侧分带改造工程等</w:t>
      </w:r>
      <w:r>
        <w:rPr>
          <w:rFonts w:hAnsi="宋体"/>
          <w:szCs w:val="21"/>
          <w:u w:val="single"/>
        </w:rPr>
        <w:t>；</w:t>
      </w:r>
    </w:p>
    <w:p>
      <w:pPr>
        <w:adjustRightInd w:val="0"/>
        <w:snapToGrid w:val="0"/>
        <w:spacing w:line="360" w:lineRule="auto"/>
        <w:ind w:firstLine="420" w:firstLineChars="200"/>
        <w:rPr>
          <w:szCs w:val="21"/>
        </w:rPr>
      </w:pPr>
      <w:r>
        <w:rPr>
          <w:szCs w:val="21"/>
        </w:rPr>
        <w:t xml:space="preserve">4. </w:t>
      </w:r>
      <w:r>
        <w:rPr>
          <w:rFonts w:hAnsi="宋体"/>
          <w:szCs w:val="21"/>
        </w:rPr>
        <w:t>工程</w:t>
      </w:r>
      <w:r>
        <w:rPr>
          <w:rFonts w:hAnsi="宋体"/>
          <w:kern w:val="0"/>
          <w:szCs w:val="21"/>
        </w:rPr>
        <w:t>概算投资额</w:t>
      </w:r>
      <w:r>
        <w:rPr>
          <w:rFonts w:hint="eastAsia" w:hAnsi="宋体"/>
          <w:kern w:val="0"/>
          <w:szCs w:val="21"/>
        </w:rPr>
        <w:t>（</w:t>
      </w:r>
      <w:r>
        <w:rPr>
          <w:rFonts w:hAnsi="宋体"/>
          <w:kern w:val="0"/>
          <w:szCs w:val="21"/>
        </w:rPr>
        <w:t>或建筑安装工程费</w:t>
      </w:r>
      <w:r>
        <w:rPr>
          <w:rFonts w:hint="eastAsia" w:hAnsi="宋体"/>
          <w:kern w:val="0"/>
          <w:szCs w:val="21"/>
        </w:rPr>
        <w:t>）</w:t>
      </w:r>
      <w:r>
        <w:rPr>
          <w:rFonts w:hAnsi="宋体"/>
          <w:szCs w:val="21"/>
        </w:rPr>
        <w:t>：</w:t>
      </w:r>
      <w:r>
        <w:rPr>
          <w:rFonts w:hint="eastAsia" w:hAnsi="宋体"/>
          <w:kern w:val="0"/>
          <w:szCs w:val="21"/>
          <w:u w:val="single"/>
          <w:lang w:val="en-US" w:eastAsia="zh-CN"/>
        </w:rPr>
        <w:t>100</w:t>
      </w:r>
      <w:r>
        <w:rPr>
          <w:rFonts w:hint="eastAsia" w:hAnsi="宋体"/>
          <w:kern w:val="0"/>
          <w:szCs w:val="21"/>
          <w:u w:val="single"/>
        </w:rPr>
        <w:t>万元（不包含土地成本费）</w:t>
      </w:r>
      <w:r>
        <w:rPr>
          <w:rFonts w:hAnsi="宋体"/>
          <w:szCs w:val="21"/>
          <w:u w:val="single"/>
        </w:rPr>
        <w:t>。</w:t>
      </w:r>
    </w:p>
    <w:p>
      <w:pPr>
        <w:spacing w:line="360" w:lineRule="auto"/>
        <w:ind w:firstLine="422" w:firstLineChars="200"/>
        <w:outlineLvl w:val="0"/>
        <w:rPr>
          <w:b/>
        </w:rPr>
      </w:pPr>
      <w:bookmarkStart w:id="8" w:name="_Toc473030495"/>
      <w:bookmarkStart w:id="9" w:name="_Toc459567802"/>
      <w:bookmarkStart w:id="10" w:name="_Toc20323402"/>
      <w:bookmarkStart w:id="11" w:name="_Toc488850361"/>
      <w:r>
        <w:rPr>
          <w:b/>
        </w:rPr>
        <w:t>二、词语限定</w:t>
      </w:r>
      <w:bookmarkEnd w:id="8"/>
      <w:bookmarkEnd w:id="9"/>
      <w:bookmarkEnd w:id="10"/>
      <w:bookmarkEnd w:id="11"/>
    </w:p>
    <w:p>
      <w:pPr>
        <w:adjustRightInd w:val="0"/>
        <w:snapToGrid w:val="0"/>
        <w:spacing w:line="360" w:lineRule="auto"/>
        <w:ind w:firstLine="420" w:firstLineChars="200"/>
        <w:rPr>
          <w:szCs w:val="21"/>
        </w:rPr>
      </w:pPr>
      <w:r>
        <w:rPr>
          <w:rFonts w:hAnsi="宋体"/>
          <w:szCs w:val="21"/>
        </w:rPr>
        <w:t>协议书中相关词语的含义与通用条件中的定义与解释相同。</w:t>
      </w:r>
    </w:p>
    <w:p>
      <w:pPr>
        <w:spacing w:line="360" w:lineRule="auto"/>
        <w:ind w:firstLine="422" w:firstLineChars="200"/>
        <w:outlineLvl w:val="0"/>
        <w:rPr>
          <w:b/>
        </w:rPr>
      </w:pPr>
      <w:bookmarkStart w:id="12" w:name="_Toc349554753"/>
      <w:bookmarkStart w:id="13" w:name="_Toc459567803"/>
      <w:bookmarkStart w:id="14" w:name="_Toc20323403"/>
      <w:bookmarkStart w:id="15" w:name="_Toc473030496"/>
      <w:bookmarkStart w:id="16" w:name="_Toc488850362"/>
      <w:r>
        <w:rPr>
          <w:b/>
        </w:rPr>
        <w:t>三、组成本合同的文件</w:t>
      </w:r>
      <w:bookmarkEnd w:id="12"/>
      <w:bookmarkEnd w:id="13"/>
      <w:bookmarkEnd w:id="14"/>
      <w:bookmarkEnd w:id="15"/>
      <w:bookmarkEnd w:id="16"/>
    </w:p>
    <w:p>
      <w:pPr>
        <w:adjustRightInd w:val="0"/>
        <w:snapToGrid w:val="0"/>
        <w:spacing w:line="360" w:lineRule="auto"/>
        <w:ind w:firstLine="420" w:firstLineChars="200"/>
        <w:rPr>
          <w:rFonts w:hAnsi="宋体"/>
          <w:szCs w:val="21"/>
        </w:rPr>
      </w:pPr>
      <w:r>
        <w:rPr>
          <w:szCs w:val="21"/>
        </w:rPr>
        <w:t xml:space="preserve">1. </w:t>
      </w:r>
      <w:r>
        <w:rPr>
          <w:rFonts w:hAnsi="宋体"/>
          <w:szCs w:val="21"/>
        </w:rPr>
        <w:t>协议书；</w:t>
      </w:r>
    </w:p>
    <w:p>
      <w:pPr>
        <w:adjustRightInd w:val="0"/>
        <w:snapToGrid w:val="0"/>
        <w:spacing w:line="360" w:lineRule="auto"/>
        <w:ind w:firstLine="420" w:firstLineChars="200"/>
        <w:rPr>
          <w:rFonts w:hAnsi="宋体"/>
          <w:szCs w:val="21"/>
        </w:rPr>
      </w:pPr>
      <w:r>
        <w:rPr>
          <w:szCs w:val="21"/>
        </w:rPr>
        <w:t xml:space="preserve">2. </w:t>
      </w:r>
      <w:r>
        <w:rPr>
          <w:rFonts w:hAnsi="宋体"/>
          <w:szCs w:val="21"/>
        </w:rPr>
        <w:t>中标通知书（适用于招标工程）或委托书（适用于非招标工程）；</w:t>
      </w:r>
    </w:p>
    <w:p>
      <w:pPr>
        <w:adjustRightInd w:val="0"/>
        <w:snapToGrid w:val="0"/>
        <w:spacing w:line="360" w:lineRule="auto"/>
        <w:ind w:firstLine="420" w:firstLineChars="200"/>
        <w:rPr>
          <w:rFonts w:hAnsi="宋体"/>
          <w:szCs w:val="21"/>
        </w:rPr>
      </w:pPr>
      <w:r>
        <w:rPr>
          <w:szCs w:val="21"/>
        </w:rPr>
        <w:t xml:space="preserve">3. </w:t>
      </w:r>
      <w:r>
        <w:rPr>
          <w:rFonts w:hAnsi="宋体"/>
          <w:szCs w:val="21"/>
        </w:rPr>
        <w:t>投标文件（适用于招标工程）或监理与相关服务建议书（适用于非招标工程）；</w:t>
      </w:r>
    </w:p>
    <w:p>
      <w:pPr>
        <w:adjustRightInd w:val="0"/>
        <w:snapToGrid w:val="0"/>
        <w:spacing w:line="360" w:lineRule="auto"/>
        <w:ind w:firstLine="420" w:firstLineChars="200"/>
        <w:rPr>
          <w:szCs w:val="21"/>
        </w:rPr>
      </w:pPr>
      <w:r>
        <w:rPr>
          <w:szCs w:val="21"/>
        </w:rPr>
        <w:t xml:space="preserve">4. </w:t>
      </w:r>
      <w:r>
        <w:rPr>
          <w:rFonts w:hAnsi="宋体"/>
          <w:szCs w:val="21"/>
        </w:rPr>
        <w:t>专用条件；</w:t>
      </w:r>
    </w:p>
    <w:p>
      <w:pPr>
        <w:adjustRightInd w:val="0"/>
        <w:snapToGrid w:val="0"/>
        <w:spacing w:line="360" w:lineRule="auto"/>
        <w:ind w:firstLine="420" w:firstLineChars="200"/>
        <w:rPr>
          <w:rFonts w:hAnsi="宋体"/>
          <w:szCs w:val="21"/>
        </w:rPr>
      </w:pPr>
      <w:r>
        <w:rPr>
          <w:szCs w:val="21"/>
        </w:rPr>
        <w:t xml:space="preserve">5. </w:t>
      </w:r>
      <w:r>
        <w:rPr>
          <w:rFonts w:hAnsi="宋体"/>
          <w:szCs w:val="21"/>
        </w:rPr>
        <w:t>通用条件；</w:t>
      </w:r>
    </w:p>
    <w:p>
      <w:pPr>
        <w:adjustRightInd w:val="0"/>
        <w:snapToGrid w:val="0"/>
        <w:spacing w:line="360" w:lineRule="auto"/>
        <w:ind w:firstLine="420" w:firstLineChars="200"/>
        <w:rPr>
          <w:szCs w:val="21"/>
        </w:rPr>
      </w:pPr>
      <w:r>
        <w:rPr>
          <w:szCs w:val="21"/>
        </w:rPr>
        <w:t xml:space="preserve">6. </w:t>
      </w:r>
      <w:r>
        <w:rPr>
          <w:rFonts w:hAnsi="宋体"/>
          <w:szCs w:val="21"/>
        </w:rPr>
        <w:t>附录，即：</w:t>
      </w:r>
    </w:p>
    <w:p>
      <w:pPr>
        <w:adjustRightInd w:val="0"/>
        <w:snapToGrid w:val="0"/>
        <w:spacing w:line="360" w:lineRule="auto"/>
        <w:ind w:firstLine="420" w:firstLineChars="200"/>
        <w:rPr>
          <w:szCs w:val="21"/>
        </w:rPr>
      </w:pPr>
      <w:r>
        <w:rPr>
          <w:rFonts w:hAnsi="宋体"/>
          <w:szCs w:val="21"/>
        </w:rPr>
        <w:t>附录</w:t>
      </w:r>
      <w:r>
        <w:rPr>
          <w:szCs w:val="21"/>
        </w:rPr>
        <w:t xml:space="preserve">A  </w:t>
      </w:r>
      <w:r>
        <w:rPr>
          <w:rFonts w:hAnsi="宋体"/>
          <w:szCs w:val="21"/>
        </w:rPr>
        <w:t>相关服务的范围和内容</w:t>
      </w:r>
    </w:p>
    <w:p>
      <w:pPr>
        <w:adjustRightInd w:val="0"/>
        <w:snapToGrid w:val="0"/>
        <w:spacing w:line="360" w:lineRule="auto"/>
        <w:ind w:firstLine="420" w:firstLineChars="200"/>
        <w:rPr>
          <w:szCs w:val="21"/>
        </w:rPr>
      </w:pPr>
      <w:r>
        <w:rPr>
          <w:rFonts w:hAnsi="宋体"/>
          <w:szCs w:val="21"/>
        </w:rPr>
        <w:t>附录</w:t>
      </w:r>
      <w:r>
        <w:rPr>
          <w:szCs w:val="21"/>
        </w:rPr>
        <w:t xml:space="preserve">B  </w:t>
      </w:r>
      <w:r>
        <w:rPr>
          <w:rFonts w:hAnsi="宋体"/>
          <w:szCs w:val="21"/>
        </w:rPr>
        <w:t>委托人派遣的人员和提供的</w:t>
      </w:r>
      <w:r>
        <w:rPr>
          <w:rFonts w:hAnsi="宋体"/>
          <w:bCs/>
          <w:szCs w:val="21"/>
        </w:rPr>
        <w:t>房屋、资料</w:t>
      </w:r>
      <w:r>
        <w:rPr>
          <w:rFonts w:hAnsi="宋体"/>
          <w:szCs w:val="21"/>
        </w:rPr>
        <w:t>、设备</w:t>
      </w:r>
    </w:p>
    <w:p>
      <w:pPr>
        <w:adjustRightInd w:val="0"/>
        <w:snapToGrid w:val="0"/>
        <w:spacing w:line="360" w:lineRule="auto"/>
        <w:ind w:firstLine="420" w:firstLineChars="200"/>
        <w:rPr>
          <w:szCs w:val="21"/>
        </w:rPr>
      </w:pPr>
      <w:r>
        <w:rPr>
          <w:rFonts w:hAnsi="宋体"/>
          <w:szCs w:val="21"/>
        </w:rPr>
        <w:t>本合同签订后，双方依法签订的补充协议也是本合同文件的组成部分。</w:t>
      </w:r>
    </w:p>
    <w:p>
      <w:pPr>
        <w:spacing w:line="360" w:lineRule="auto"/>
        <w:ind w:firstLine="422" w:firstLineChars="200"/>
        <w:outlineLvl w:val="0"/>
        <w:rPr>
          <w:b/>
        </w:rPr>
      </w:pPr>
      <w:bookmarkStart w:id="17" w:name="_Toc473030497"/>
      <w:bookmarkStart w:id="18" w:name="_Toc349554754"/>
      <w:bookmarkStart w:id="19" w:name="_Toc20323404"/>
      <w:bookmarkStart w:id="20" w:name="_Toc488850363"/>
      <w:bookmarkStart w:id="21" w:name="_Toc459567804"/>
      <w:r>
        <w:rPr>
          <w:b/>
        </w:rPr>
        <w:t>四、总监理工程师</w:t>
      </w:r>
      <w:bookmarkEnd w:id="17"/>
      <w:bookmarkEnd w:id="18"/>
      <w:bookmarkEnd w:id="19"/>
      <w:bookmarkEnd w:id="20"/>
      <w:bookmarkEnd w:id="21"/>
    </w:p>
    <w:p>
      <w:pPr>
        <w:adjustRightInd w:val="0"/>
        <w:snapToGrid w:val="0"/>
        <w:spacing w:line="360" w:lineRule="auto"/>
        <w:ind w:firstLine="420" w:firstLineChars="200"/>
        <w:rPr>
          <w:kern w:val="0"/>
          <w:szCs w:val="21"/>
        </w:rPr>
      </w:pPr>
      <w:r>
        <w:rPr>
          <w:rFonts w:hAnsi="宋体"/>
          <w:kern w:val="0"/>
          <w:szCs w:val="21"/>
        </w:rPr>
        <w:t>总监理工程师姓名：</w:t>
      </w:r>
      <w:r>
        <w:rPr>
          <w:kern w:val="0"/>
          <w:szCs w:val="21"/>
          <w:u w:val="single"/>
        </w:rPr>
        <w:t xml:space="preserve">       </w:t>
      </w:r>
      <w:r>
        <w:rPr>
          <w:rFonts w:hint="eastAsia"/>
          <w:kern w:val="0"/>
          <w:szCs w:val="21"/>
          <w:u w:val="single"/>
        </w:rPr>
        <w:t xml:space="preserve">   </w:t>
      </w:r>
      <w:r>
        <w:rPr>
          <w:rFonts w:hAnsi="宋体"/>
          <w:kern w:val="0"/>
          <w:szCs w:val="21"/>
        </w:rPr>
        <w:t>，身份证号码：</w:t>
      </w:r>
      <w:r>
        <w:rPr>
          <w:kern w:val="0"/>
          <w:szCs w:val="21"/>
          <w:u w:val="single"/>
        </w:rPr>
        <w:t xml:space="preserve">        </w:t>
      </w:r>
      <w:r>
        <w:rPr>
          <w:rFonts w:hint="eastAsia"/>
          <w:kern w:val="0"/>
          <w:szCs w:val="21"/>
          <w:u w:val="single"/>
        </w:rPr>
        <w:t xml:space="preserve">                 </w:t>
      </w:r>
      <w:r>
        <w:rPr>
          <w:rFonts w:hAnsi="宋体"/>
          <w:kern w:val="0"/>
          <w:szCs w:val="21"/>
        </w:rPr>
        <w:t>，注册号：</w:t>
      </w:r>
      <w:r>
        <w:rPr>
          <w:kern w:val="0"/>
          <w:szCs w:val="21"/>
          <w:u w:val="single"/>
        </w:rPr>
        <w:t xml:space="preserve">              </w:t>
      </w:r>
      <w:r>
        <w:rPr>
          <w:rFonts w:hAnsi="宋体"/>
          <w:kern w:val="0"/>
          <w:szCs w:val="21"/>
        </w:rPr>
        <w:t>。</w:t>
      </w:r>
    </w:p>
    <w:p>
      <w:pPr>
        <w:spacing w:line="360" w:lineRule="auto"/>
        <w:ind w:firstLine="422" w:firstLineChars="200"/>
        <w:outlineLvl w:val="0"/>
        <w:rPr>
          <w:b/>
        </w:rPr>
      </w:pPr>
      <w:bookmarkStart w:id="22" w:name="_Toc20323405"/>
      <w:bookmarkStart w:id="23" w:name="_Toc488850364"/>
      <w:bookmarkStart w:id="24" w:name="_Toc459567805"/>
      <w:bookmarkStart w:id="25" w:name="_Toc349554755"/>
      <w:bookmarkStart w:id="26" w:name="_Toc473030498"/>
      <w:r>
        <w:rPr>
          <w:b/>
        </w:rPr>
        <w:t>五、签约酬金</w:t>
      </w:r>
      <w:bookmarkEnd w:id="22"/>
      <w:bookmarkEnd w:id="23"/>
      <w:bookmarkEnd w:id="24"/>
      <w:bookmarkEnd w:id="25"/>
      <w:bookmarkEnd w:id="26"/>
    </w:p>
    <w:p>
      <w:pPr>
        <w:adjustRightInd w:val="0"/>
        <w:snapToGrid w:val="0"/>
        <w:spacing w:line="360" w:lineRule="auto"/>
        <w:ind w:firstLine="420" w:firstLineChars="200"/>
        <w:jc w:val="left"/>
        <w:rPr>
          <w:rFonts w:hAnsi="宋体"/>
          <w:szCs w:val="21"/>
        </w:rPr>
      </w:pPr>
      <w:r>
        <w:rPr>
          <w:rFonts w:hint="eastAsia" w:hAnsi="宋体"/>
          <w:kern w:val="0"/>
          <w:szCs w:val="21"/>
        </w:rPr>
        <w:t>本合同采用固定总价的计价方式，合同价格为人民币</w:t>
      </w:r>
      <w:r>
        <w:rPr>
          <w:rFonts w:hAnsi="宋体"/>
          <w:szCs w:val="21"/>
        </w:rPr>
        <w:t>（大写）：</w:t>
      </w:r>
      <w:r>
        <w:rPr>
          <w:rFonts w:hAnsi="宋体"/>
          <w:szCs w:val="21"/>
          <w:u w:val="single"/>
        </w:rPr>
        <w:t xml:space="preserve">         （¥        ）。</w:t>
      </w:r>
    </w:p>
    <w:p>
      <w:pPr>
        <w:adjustRightInd w:val="0"/>
        <w:snapToGrid w:val="0"/>
        <w:spacing w:line="360" w:lineRule="auto"/>
        <w:ind w:firstLine="420" w:firstLineChars="200"/>
        <w:rPr>
          <w:szCs w:val="21"/>
        </w:rPr>
      </w:pPr>
      <w:r>
        <w:rPr>
          <w:rFonts w:hAnsi="宋体"/>
          <w:szCs w:val="21"/>
        </w:rPr>
        <w:t>包括：</w:t>
      </w:r>
    </w:p>
    <w:p>
      <w:pPr>
        <w:adjustRightInd w:val="0"/>
        <w:snapToGrid w:val="0"/>
        <w:spacing w:line="360" w:lineRule="auto"/>
        <w:ind w:firstLine="420" w:firstLineChars="200"/>
        <w:rPr>
          <w:szCs w:val="21"/>
        </w:rPr>
      </w:pPr>
      <w:r>
        <w:rPr>
          <w:szCs w:val="21"/>
        </w:rPr>
        <w:t xml:space="preserve">1. </w:t>
      </w:r>
      <w:r>
        <w:rPr>
          <w:rFonts w:hAnsi="宋体"/>
          <w:szCs w:val="21"/>
        </w:rPr>
        <w:t>施工阶段监理酬金：</w:t>
      </w:r>
      <w:r>
        <w:rPr>
          <w:szCs w:val="21"/>
          <w:u w:val="single"/>
        </w:rPr>
        <w:t xml:space="preserve">  </w:t>
      </w:r>
      <w:r>
        <w:rPr>
          <w:rFonts w:hint="eastAsia" w:ascii="宋体" w:hAnsi="宋体"/>
          <w:szCs w:val="21"/>
          <w:u w:val="single"/>
        </w:rPr>
        <w:t>包含在总监理酬金内</w:t>
      </w:r>
      <w:r>
        <w:rPr>
          <w:szCs w:val="21"/>
          <w:u w:val="single"/>
        </w:rPr>
        <w:t xml:space="preserve">  </w:t>
      </w:r>
      <w:r>
        <w:rPr>
          <w:rFonts w:hAnsi="宋体"/>
          <w:szCs w:val="21"/>
        </w:rPr>
        <w:t>。</w:t>
      </w:r>
    </w:p>
    <w:p>
      <w:pPr>
        <w:adjustRightInd w:val="0"/>
        <w:snapToGrid w:val="0"/>
        <w:spacing w:line="360" w:lineRule="auto"/>
        <w:ind w:firstLine="420" w:firstLineChars="200"/>
        <w:rPr>
          <w:szCs w:val="21"/>
        </w:rPr>
      </w:pPr>
      <w:r>
        <w:rPr>
          <w:szCs w:val="21"/>
        </w:rPr>
        <w:t xml:space="preserve">2. </w:t>
      </w:r>
      <w:r>
        <w:rPr>
          <w:rFonts w:hAnsi="宋体"/>
          <w:szCs w:val="21"/>
        </w:rPr>
        <w:t>相关服务酬金：</w:t>
      </w:r>
      <w:r>
        <w:rPr>
          <w:szCs w:val="21"/>
          <w:u w:val="single"/>
        </w:rPr>
        <w:t xml:space="preserve">  </w:t>
      </w:r>
      <w:r>
        <w:rPr>
          <w:rFonts w:hint="eastAsia" w:ascii="宋体" w:hAnsi="宋体"/>
          <w:szCs w:val="21"/>
          <w:u w:val="single"/>
        </w:rPr>
        <w:t>包含在总监理酬金内</w:t>
      </w:r>
      <w:r>
        <w:rPr>
          <w:szCs w:val="21"/>
          <w:u w:val="single"/>
        </w:rPr>
        <w:t xml:space="preserve">  </w:t>
      </w:r>
      <w:r>
        <w:rPr>
          <w:rFonts w:hAnsi="宋体"/>
          <w:szCs w:val="21"/>
        </w:rPr>
        <w:t>。</w:t>
      </w:r>
    </w:p>
    <w:p>
      <w:pPr>
        <w:adjustRightInd w:val="0"/>
        <w:snapToGrid w:val="0"/>
        <w:spacing w:line="360" w:lineRule="auto"/>
        <w:ind w:firstLine="420" w:firstLineChars="200"/>
        <w:rPr>
          <w:szCs w:val="21"/>
        </w:rPr>
      </w:pPr>
      <w:r>
        <w:rPr>
          <w:rFonts w:hAnsi="宋体"/>
          <w:szCs w:val="21"/>
        </w:rPr>
        <w:t>其中：</w:t>
      </w:r>
    </w:p>
    <w:p>
      <w:pPr>
        <w:adjustRightInd w:val="0"/>
        <w:snapToGrid w:val="0"/>
        <w:spacing w:line="360" w:lineRule="auto"/>
        <w:ind w:firstLine="840" w:firstLineChars="400"/>
        <w:rPr>
          <w:szCs w:val="21"/>
        </w:rPr>
      </w:pPr>
      <w:r>
        <w:rPr>
          <w:rFonts w:hAnsi="宋体"/>
          <w:kern w:val="0"/>
          <w:szCs w:val="21"/>
        </w:rPr>
        <w:t>（</w:t>
      </w:r>
      <w:r>
        <w:rPr>
          <w:kern w:val="0"/>
          <w:szCs w:val="21"/>
        </w:rPr>
        <w:t>1</w:t>
      </w:r>
      <w:r>
        <w:rPr>
          <w:rFonts w:hAnsi="宋体"/>
          <w:kern w:val="0"/>
          <w:szCs w:val="21"/>
        </w:rPr>
        <w:t>）勘察阶段服务</w:t>
      </w:r>
      <w:r>
        <w:rPr>
          <w:rFonts w:hAnsi="宋体"/>
          <w:szCs w:val="21"/>
        </w:rPr>
        <w:t>酬金：</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pPr>
        <w:adjustRightInd w:val="0"/>
        <w:snapToGrid w:val="0"/>
        <w:spacing w:line="360" w:lineRule="auto"/>
        <w:ind w:firstLine="840" w:firstLineChars="400"/>
        <w:rPr>
          <w:szCs w:val="21"/>
        </w:rPr>
      </w:pPr>
      <w:r>
        <w:rPr>
          <w:rFonts w:hAnsi="宋体"/>
          <w:kern w:val="0"/>
          <w:szCs w:val="21"/>
        </w:rPr>
        <w:t>（</w:t>
      </w:r>
      <w:r>
        <w:rPr>
          <w:kern w:val="0"/>
          <w:szCs w:val="21"/>
        </w:rPr>
        <w:t>2</w:t>
      </w:r>
      <w:r>
        <w:rPr>
          <w:rFonts w:hAnsi="宋体"/>
          <w:kern w:val="0"/>
          <w:szCs w:val="21"/>
        </w:rPr>
        <w:t>）设计阶段服务</w:t>
      </w:r>
      <w:r>
        <w:rPr>
          <w:rFonts w:hAnsi="宋体"/>
          <w:szCs w:val="21"/>
        </w:rPr>
        <w:t>酬金：</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rFonts w:hAnsi="宋体"/>
          <w:szCs w:val="21"/>
        </w:rPr>
        <w:t>。</w:t>
      </w:r>
    </w:p>
    <w:p>
      <w:pPr>
        <w:adjustRightInd w:val="0"/>
        <w:snapToGrid w:val="0"/>
        <w:spacing w:line="360" w:lineRule="auto"/>
        <w:ind w:firstLine="840" w:firstLineChars="400"/>
        <w:rPr>
          <w:szCs w:val="21"/>
        </w:rPr>
      </w:pPr>
      <w:r>
        <w:rPr>
          <w:rFonts w:hAnsi="宋体"/>
          <w:kern w:val="0"/>
          <w:szCs w:val="21"/>
        </w:rPr>
        <w:t>（</w:t>
      </w:r>
      <w:r>
        <w:rPr>
          <w:kern w:val="0"/>
          <w:szCs w:val="21"/>
        </w:rPr>
        <w:t>3</w:t>
      </w:r>
      <w:r>
        <w:rPr>
          <w:rFonts w:hAnsi="宋体"/>
          <w:kern w:val="0"/>
          <w:szCs w:val="21"/>
        </w:rPr>
        <w:t>）保修阶段服务</w:t>
      </w:r>
      <w:r>
        <w:rPr>
          <w:rFonts w:hAnsi="宋体"/>
          <w:szCs w:val="21"/>
        </w:rPr>
        <w:t>酬金：</w:t>
      </w:r>
      <w:r>
        <w:rPr>
          <w:szCs w:val="21"/>
          <w:u w:val="single"/>
        </w:rPr>
        <w:t xml:space="preserve">  </w:t>
      </w:r>
      <w:r>
        <w:rPr>
          <w:rFonts w:hint="eastAsia" w:ascii="宋体" w:hAnsi="宋体"/>
          <w:szCs w:val="21"/>
          <w:u w:val="single"/>
        </w:rPr>
        <w:t>包含在总监理酬金内</w:t>
      </w:r>
      <w:r>
        <w:rPr>
          <w:szCs w:val="21"/>
          <w:u w:val="single"/>
        </w:rPr>
        <w:t xml:space="preserve">  </w:t>
      </w:r>
      <w:r>
        <w:rPr>
          <w:rFonts w:hAnsi="宋体"/>
          <w:szCs w:val="21"/>
        </w:rPr>
        <w:t>。</w:t>
      </w:r>
    </w:p>
    <w:p>
      <w:pPr>
        <w:adjustRightInd w:val="0"/>
        <w:snapToGrid w:val="0"/>
        <w:spacing w:line="360" w:lineRule="auto"/>
        <w:ind w:firstLine="840" w:firstLineChars="400"/>
        <w:rPr>
          <w:rFonts w:hAnsi="宋体"/>
          <w:szCs w:val="21"/>
        </w:rPr>
      </w:pPr>
      <w:r>
        <w:rPr>
          <w:rFonts w:hAnsi="宋体"/>
          <w:kern w:val="0"/>
          <w:szCs w:val="21"/>
        </w:rPr>
        <w:t>（</w:t>
      </w:r>
      <w:r>
        <w:rPr>
          <w:kern w:val="0"/>
          <w:szCs w:val="21"/>
        </w:rPr>
        <w:t>4</w:t>
      </w:r>
      <w:r>
        <w:rPr>
          <w:rFonts w:hAnsi="宋体"/>
          <w:kern w:val="0"/>
          <w:szCs w:val="21"/>
        </w:rPr>
        <w:t>）</w:t>
      </w:r>
      <w:r>
        <w:rPr>
          <w:rFonts w:hAnsi="宋体"/>
          <w:szCs w:val="21"/>
        </w:rPr>
        <w:t>其他相关服务酬金：</w:t>
      </w:r>
      <w:bookmarkStart w:id="27" w:name="_Toc349554756"/>
      <w:r>
        <w:rPr>
          <w:szCs w:val="21"/>
          <w:u w:val="single"/>
        </w:rPr>
        <w:t xml:space="preserve">  </w:t>
      </w:r>
      <w:r>
        <w:rPr>
          <w:rFonts w:hint="eastAsia" w:ascii="宋体" w:hAnsi="宋体"/>
          <w:szCs w:val="21"/>
          <w:u w:val="single"/>
        </w:rPr>
        <w:t>包含在总监理酬金内</w:t>
      </w:r>
      <w:r>
        <w:rPr>
          <w:szCs w:val="21"/>
          <w:u w:val="single"/>
        </w:rPr>
        <w:t xml:space="preserve"> </w:t>
      </w:r>
      <w:r>
        <w:rPr>
          <w:rFonts w:hAnsi="宋体"/>
          <w:szCs w:val="21"/>
        </w:rPr>
        <w:t>。</w:t>
      </w:r>
    </w:p>
    <w:p>
      <w:pPr>
        <w:spacing w:line="360" w:lineRule="auto"/>
        <w:ind w:firstLine="422" w:firstLineChars="200"/>
        <w:outlineLvl w:val="0"/>
        <w:rPr>
          <w:b/>
        </w:rPr>
      </w:pPr>
      <w:bookmarkStart w:id="28" w:name="_Toc20323406"/>
      <w:bookmarkStart w:id="29" w:name="_Toc488850365"/>
      <w:r>
        <w:rPr>
          <w:b/>
        </w:rPr>
        <w:t>六、期限</w:t>
      </w:r>
      <w:bookmarkEnd w:id="27"/>
      <w:bookmarkEnd w:id="28"/>
      <w:bookmarkEnd w:id="29"/>
    </w:p>
    <w:p>
      <w:pPr>
        <w:adjustRightInd w:val="0"/>
        <w:snapToGrid w:val="0"/>
        <w:spacing w:line="360" w:lineRule="auto"/>
        <w:ind w:firstLine="525" w:firstLineChars="250"/>
        <w:jc w:val="left"/>
        <w:rPr>
          <w:szCs w:val="21"/>
        </w:rPr>
      </w:pPr>
      <w:r>
        <w:rPr>
          <w:kern w:val="0"/>
          <w:szCs w:val="21"/>
        </w:rPr>
        <w:t xml:space="preserve">1. </w:t>
      </w:r>
      <w:r>
        <w:rPr>
          <w:rFonts w:hAnsi="宋体"/>
          <w:kern w:val="0"/>
          <w:szCs w:val="21"/>
        </w:rPr>
        <w:t>施工阶段</w:t>
      </w:r>
      <w:r>
        <w:rPr>
          <w:rFonts w:hAnsi="宋体"/>
          <w:szCs w:val="21"/>
        </w:rPr>
        <w:t>监理</w:t>
      </w:r>
      <w:r>
        <w:rPr>
          <w:rFonts w:hint="eastAsia" w:hAnsi="宋体"/>
          <w:szCs w:val="21"/>
        </w:rPr>
        <w:t>服务</w:t>
      </w:r>
      <w:r>
        <w:rPr>
          <w:rFonts w:hAnsi="宋体"/>
          <w:szCs w:val="21"/>
        </w:rPr>
        <w:t>期限：</w:t>
      </w:r>
    </w:p>
    <w:p>
      <w:pPr>
        <w:adjustRightInd w:val="0"/>
        <w:snapToGrid w:val="0"/>
        <w:spacing w:line="360" w:lineRule="auto"/>
        <w:ind w:firstLine="525" w:firstLineChars="250"/>
        <w:jc w:val="left"/>
        <w:rPr>
          <w:color w:val="FF0000"/>
          <w:szCs w:val="21"/>
        </w:rPr>
      </w:pPr>
      <w:r>
        <w:rPr>
          <w:rFonts w:hAnsi="宋体"/>
          <w:szCs w:val="21"/>
        </w:rPr>
        <w:t>自</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日始，至</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日止。</w:t>
      </w:r>
      <w:r>
        <w:rPr>
          <w:rFonts w:hint="eastAsia" w:hAnsi="宋体"/>
          <w:szCs w:val="21"/>
        </w:rPr>
        <w:t>（施工阶</w:t>
      </w:r>
      <w:r>
        <w:rPr>
          <w:rFonts w:hint="eastAsia"/>
        </w:rPr>
        <w:t>段监理服务期限应为</w:t>
      </w:r>
      <w:r>
        <w:t>自委托人通知监理进场</w:t>
      </w:r>
      <w:r>
        <w:rPr>
          <w:rFonts w:hint="eastAsia"/>
        </w:rPr>
        <w:t>之日始至工程竣工验收合格之日止，</w:t>
      </w:r>
      <w:r>
        <w:t>原则上招标人应设定为与所监理项目的施工工期一致，特殊情况下</w:t>
      </w:r>
      <w:r>
        <w:rPr>
          <w:rFonts w:hint="eastAsia"/>
        </w:rPr>
        <w:t>施工阶段</w:t>
      </w:r>
      <w:r>
        <w:t>监理</w:t>
      </w:r>
      <w:r>
        <w:rPr>
          <w:rFonts w:hint="eastAsia"/>
        </w:rPr>
        <w:t>服务</w:t>
      </w:r>
      <w:r>
        <w:t>期均不能大于施工工期的110%</w:t>
      </w:r>
      <w:r>
        <w:rPr>
          <w:rFonts w:hint="eastAsia"/>
        </w:rPr>
        <w:t>。</w:t>
      </w:r>
      <w:r>
        <w:rPr>
          <w:rFonts w:hint="eastAsia" w:hAnsi="宋体"/>
          <w:szCs w:val="21"/>
        </w:rPr>
        <w:t>）</w:t>
      </w:r>
    </w:p>
    <w:p>
      <w:pPr>
        <w:adjustRightInd w:val="0"/>
        <w:snapToGrid w:val="0"/>
        <w:spacing w:line="360" w:lineRule="auto"/>
        <w:ind w:firstLine="525" w:firstLineChars="250"/>
        <w:rPr>
          <w:szCs w:val="21"/>
        </w:rPr>
      </w:pPr>
      <w:r>
        <w:rPr>
          <w:kern w:val="0"/>
          <w:szCs w:val="21"/>
        </w:rPr>
        <w:t xml:space="preserve">2. </w:t>
      </w:r>
      <w:r>
        <w:rPr>
          <w:rFonts w:hAnsi="宋体"/>
          <w:szCs w:val="21"/>
        </w:rPr>
        <w:t>相关服务期限：</w:t>
      </w:r>
    </w:p>
    <w:p>
      <w:pPr>
        <w:adjustRightInd w:val="0"/>
        <w:snapToGrid w:val="0"/>
        <w:spacing w:line="360" w:lineRule="auto"/>
        <w:ind w:firstLine="525" w:firstLineChars="250"/>
        <w:rPr>
          <w:szCs w:val="21"/>
        </w:rPr>
      </w:pPr>
      <w:r>
        <w:rPr>
          <w:rFonts w:hAnsi="宋体"/>
          <w:kern w:val="0"/>
          <w:szCs w:val="21"/>
        </w:rPr>
        <w:t>（</w:t>
      </w:r>
      <w:r>
        <w:rPr>
          <w:kern w:val="0"/>
          <w:szCs w:val="21"/>
        </w:rPr>
        <w:t>1</w:t>
      </w:r>
      <w:r>
        <w:rPr>
          <w:rFonts w:hAnsi="宋体"/>
          <w:kern w:val="0"/>
          <w:szCs w:val="21"/>
        </w:rPr>
        <w:t>）勘察阶段</w:t>
      </w:r>
      <w:r>
        <w:rPr>
          <w:rFonts w:hAnsi="宋体"/>
          <w:szCs w:val="21"/>
        </w:rPr>
        <w:t>服务期限自</w:t>
      </w:r>
      <w:r>
        <w:rPr>
          <w:szCs w:val="21"/>
          <w:u w:val="single"/>
        </w:rPr>
        <w:t xml:space="preserve">     </w:t>
      </w:r>
      <w:r>
        <w:rPr>
          <w:rFonts w:hint="eastAsia"/>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日始，至</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日止。</w:t>
      </w:r>
    </w:p>
    <w:p>
      <w:pPr>
        <w:adjustRightInd w:val="0"/>
        <w:snapToGrid w:val="0"/>
        <w:spacing w:line="360" w:lineRule="auto"/>
        <w:ind w:firstLine="525" w:firstLineChars="250"/>
        <w:rPr>
          <w:szCs w:val="21"/>
        </w:rPr>
      </w:pPr>
      <w:r>
        <w:rPr>
          <w:rFonts w:hAnsi="宋体"/>
          <w:kern w:val="0"/>
          <w:szCs w:val="21"/>
        </w:rPr>
        <w:t>（</w:t>
      </w:r>
      <w:r>
        <w:rPr>
          <w:kern w:val="0"/>
          <w:szCs w:val="21"/>
        </w:rPr>
        <w:t>2</w:t>
      </w:r>
      <w:r>
        <w:rPr>
          <w:rFonts w:hAnsi="宋体"/>
          <w:kern w:val="0"/>
          <w:szCs w:val="21"/>
        </w:rPr>
        <w:t>）设计阶段</w:t>
      </w:r>
      <w:r>
        <w:rPr>
          <w:rFonts w:hAnsi="宋体"/>
          <w:szCs w:val="21"/>
        </w:rPr>
        <w:t>服务期限自</w:t>
      </w:r>
      <w:r>
        <w:rPr>
          <w:szCs w:val="21"/>
          <w:u w:val="single"/>
        </w:rPr>
        <w:t xml:space="preserve">     </w:t>
      </w:r>
      <w:r>
        <w:rPr>
          <w:rFonts w:hint="eastAsia"/>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日始，至</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日止。</w:t>
      </w:r>
    </w:p>
    <w:p>
      <w:pPr>
        <w:adjustRightInd w:val="0"/>
        <w:snapToGrid w:val="0"/>
        <w:spacing w:line="360" w:lineRule="auto"/>
        <w:ind w:firstLine="525" w:firstLineChars="250"/>
        <w:rPr>
          <w:szCs w:val="21"/>
        </w:rPr>
      </w:pPr>
      <w:r>
        <w:rPr>
          <w:rFonts w:hAnsi="宋体"/>
          <w:kern w:val="0"/>
          <w:szCs w:val="21"/>
        </w:rPr>
        <w:t>（</w:t>
      </w:r>
      <w:r>
        <w:rPr>
          <w:kern w:val="0"/>
          <w:szCs w:val="21"/>
        </w:rPr>
        <w:t>3</w:t>
      </w:r>
      <w:r>
        <w:rPr>
          <w:rFonts w:hAnsi="宋体"/>
          <w:kern w:val="0"/>
          <w:szCs w:val="21"/>
        </w:rPr>
        <w:t>）保修阶段</w:t>
      </w:r>
      <w:r>
        <w:rPr>
          <w:rFonts w:hAnsi="宋体"/>
          <w:szCs w:val="21"/>
        </w:rPr>
        <w:t>服务期限自</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日始，至</w:t>
      </w:r>
      <w:r>
        <w:rPr>
          <w:szCs w:val="21"/>
          <w:u w:val="single"/>
        </w:rPr>
        <w:t xml:space="preserve">    </w:t>
      </w:r>
      <w:r>
        <w:rPr>
          <w:rFonts w:hint="eastAsia"/>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日止。</w:t>
      </w:r>
    </w:p>
    <w:p>
      <w:pPr>
        <w:adjustRightInd w:val="0"/>
        <w:snapToGrid w:val="0"/>
        <w:spacing w:line="360" w:lineRule="auto"/>
        <w:ind w:firstLine="525" w:firstLineChars="250"/>
        <w:rPr>
          <w:szCs w:val="21"/>
        </w:rPr>
      </w:pPr>
      <w:r>
        <w:rPr>
          <w:rFonts w:hAnsi="宋体"/>
          <w:kern w:val="0"/>
          <w:szCs w:val="21"/>
        </w:rPr>
        <w:t>（</w:t>
      </w:r>
      <w:r>
        <w:rPr>
          <w:kern w:val="0"/>
          <w:szCs w:val="21"/>
        </w:rPr>
        <w:t>4</w:t>
      </w:r>
      <w:r>
        <w:rPr>
          <w:rFonts w:hAnsi="宋体"/>
          <w:kern w:val="0"/>
          <w:szCs w:val="21"/>
        </w:rPr>
        <w:t>）</w:t>
      </w:r>
      <w:r>
        <w:rPr>
          <w:rFonts w:hAnsi="宋体"/>
          <w:szCs w:val="21"/>
        </w:rPr>
        <w:t>其他相关服务期限自</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日始，至</w:t>
      </w:r>
      <w:r>
        <w:rPr>
          <w:szCs w:val="21"/>
          <w:u w:val="single"/>
        </w:rPr>
        <w:t xml:space="preserve">    </w:t>
      </w:r>
      <w:r>
        <w:rPr>
          <w:rFonts w:hint="eastAsia"/>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日止。</w:t>
      </w:r>
    </w:p>
    <w:p>
      <w:pPr>
        <w:spacing w:line="360" w:lineRule="auto"/>
        <w:ind w:firstLine="422" w:firstLineChars="200"/>
        <w:outlineLvl w:val="0"/>
        <w:rPr>
          <w:b/>
        </w:rPr>
      </w:pPr>
      <w:bookmarkStart w:id="30" w:name="_Toc459567806"/>
      <w:bookmarkStart w:id="31" w:name="_Toc488850366"/>
      <w:bookmarkStart w:id="32" w:name="_Toc349554757"/>
      <w:bookmarkStart w:id="33" w:name="_Toc20323407"/>
      <w:bookmarkStart w:id="34" w:name="_Toc473030499"/>
      <w:r>
        <w:rPr>
          <w:b/>
        </w:rPr>
        <w:t>七、双方承诺</w:t>
      </w:r>
      <w:bookmarkEnd w:id="30"/>
      <w:bookmarkEnd w:id="31"/>
      <w:bookmarkEnd w:id="32"/>
      <w:bookmarkEnd w:id="33"/>
      <w:bookmarkEnd w:id="34"/>
    </w:p>
    <w:p>
      <w:pPr>
        <w:adjustRightInd w:val="0"/>
        <w:snapToGrid w:val="0"/>
        <w:spacing w:line="360" w:lineRule="auto"/>
        <w:ind w:firstLine="420" w:firstLineChars="200"/>
        <w:rPr>
          <w:szCs w:val="21"/>
        </w:rPr>
      </w:pPr>
      <w:bookmarkStart w:id="35" w:name="_Toc349554758"/>
      <w:r>
        <w:rPr>
          <w:szCs w:val="21"/>
        </w:rPr>
        <w:t xml:space="preserve">1. </w:t>
      </w:r>
      <w:r>
        <w:rPr>
          <w:rFonts w:hAnsi="宋体"/>
          <w:szCs w:val="21"/>
        </w:rPr>
        <w:t>监理人向委托人承诺，按照本合同约定提供监理与相关服务。</w:t>
      </w:r>
      <w:bookmarkEnd w:id="35"/>
    </w:p>
    <w:p>
      <w:pPr>
        <w:adjustRightInd w:val="0"/>
        <w:snapToGrid w:val="0"/>
        <w:spacing w:line="360" w:lineRule="auto"/>
        <w:ind w:firstLine="420" w:firstLineChars="200"/>
        <w:rPr>
          <w:szCs w:val="21"/>
        </w:rPr>
      </w:pPr>
      <w:bookmarkStart w:id="36" w:name="_Toc349554759"/>
      <w:r>
        <w:rPr>
          <w:szCs w:val="21"/>
        </w:rPr>
        <w:t xml:space="preserve">2. </w:t>
      </w:r>
      <w:r>
        <w:rPr>
          <w:rFonts w:hAnsi="宋体"/>
          <w:szCs w:val="21"/>
        </w:rPr>
        <w:t>委托人向监理人承诺，按照本合同约定派遣相应的人员，提供房屋、资料、设备，并按本合同约定支付酬金。</w:t>
      </w:r>
      <w:bookmarkEnd w:id="36"/>
    </w:p>
    <w:p>
      <w:pPr>
        <w:spacing w:line="360" w:lineRule="auto"/>
        <w:ind w:firstLine="422" w:firstLineChars="200"/>
        <w:outlineLvl w:val="0"/>
        <w:rPr>
          <w:b/>
        </w:rPr>
      </w:pPr>
      <w:bookmarkStart w:id="37" w:name="_Toc459567807"/>
      <w:bookmarkStart w:id="38" w:name="_Toc349554760"/>
      <w:bookmarkStart w:id="39" w:name="_Toc20323408"/>
      <w:bookmarkStart w:id="40" w:name="_Toc473030500"/>
      <w:bookmarkStart w:id="41" w:name="_Toc488850367"/>
      <w:r>
        <w:rPr>
          <w:b/>
        </w:rPr>
        <w:t>八、合同订立</w:t>
      </w:r>
      <w:bookmarkEnd w:id="37"/>
      <w:bookmarkEnd w:id="38"/>
      <w:bookmarkEnd w:id="39"/>
      <w:bookmarkEnd w:id="40"/>
      <w:bookmarkEnd w:id="41"/>
    </w:p>
    <w:p>
      <w:pPr>
        <w:adjustRightInd w:val="0"/>
        <w:snapToGrid w:val="0"/>
        <w:spacing w:line="360" w:lineRule="auto"/>
        <w:ind w:firstLine="420" w:firstLineChars="200"/>
        <w:rPr>
          <w:szCs w:val="21"/>
        </w:rPr>
      </w:pPr>
      <w:r>
        <w:rPr>
          <w:szCs w:val="21"/>
        </w:rPr>
        <w:t xml:space="preserve">1. </w:t>
      </w:r>
      <w:r>
        <w:rPr>
          <w:rFonts w:hAnsi="宋体"/>
          <w:szCs w:val="21"/>
        </w:rPr>
        <w:t>订立时间：</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w:t>
      </w:r>
    </w:p>
    <w:p>
      <w:pPr>
        <w:adjustRightInd w:val="0"/>
        <w:snapToGrid w:val="0"/>
        <w:spacing w:line="360" w:lineRule="auto"/>
        <w:ind w:firstLine="420" w:firstLineChars="200"/>
        <w:rPr>
          <w:szCs w:val="21"/>
        </w:rPr>
      </w:pPr>
      <w:r>
        <w:rPr>
          <w:szCs w:val="21"/>
        </w:rPr>
        <w:t xml:space="preserve">2. </w:t>
      </w:r>
      <w:r>
        <w:rPr>
          <w:rFonts w:hAnsi="宋体"/>
          <w:szCs w:val="21"/>
        </w:rPr>
        <w:t>订立地点：</w:t>
      </w:r>
      <w:r>
        <w:rPr>
          <w:szCs w:val="21"/>
          <w:u w:val="single"/>
        </w:rPr>
        <w:t xml:space="preserve">                         </w:t>
      </w:r>
      <w:r>
        <w:rPr>
          <w:rFonts w:hAnsi="宋体"/>
          <w:szCs w:val="21"/>
        </w:rPr>
        <w:t>。</w:t>
      </w:r>
    </w:p>
    <w:p>
      <w:pPr>
        <w:adjustRightInd w:val="0"/>
        <w:snapToGrid w:val="0"/>
        <w:spacing w:line="360" w:lineRule="auto"/>
        <w:ind w:firstLine="420" w:firstLineChars="200"/>
        <w:rPr>
          <w:szCs w:val="21"/>
        </w:rPr>
      </w:pPr>
      <w:r>
        <w:rPr>
          <w:szCs w:val="21"/>
        </w:rPr>
        <w:t xml:space="preserve">3. </w:t>
      </w:r>
      <w:r>
        <w:rPr>
          <w:rFonts w:hAnsi="宋体"/>
          <w:szCs w:val="21"/>
        </w:rPr>
        <w:t>本合同一式</w:t>
      </w:r>
      <w:r>
        <w:rPr>
          <w:szCs w:val="21"/>
          <w:u w:val="single"/>
        </w:rPr>
        <w:t xml:space="preserve">    </w:t>
      </w:r>
      <w:r>
        <w:rPr>
          <w:rFonts w:hAnsi="宋体"/>
          <w:szCs w:val="21"/>
        </w:rPr>
        <w:t>份，具有同等法律效力，双方各执</w:t>
      </w:r>
      <w:r>
        <w:rPr>
          <w:szCs w:val="21"/>
          <w:u w:val="single"/>
        </w:rPr>
        <w:t xml:space="preserve">     </w:t>
      </w:r>
      <w:r>
        <w:rPr>
          <w:rFonts w:hAnsi="宋体"/>
          <w:szCs w:val="21"/>
        </w:rPr>
        <w:t>份。</w:t>
      </w:r>
    </w:p>
    <w:p>
      <w:pPr>
        <w:adjustRightInd w:val="0"/>
        <w:snapToGrid w:val="0"/>
        <w:spacing w:line="360" w:lineRule="auto"/>
        <w:ind w:right="-126" w:rightChars="-60" w:firstLine="415" w:firstLineChars="198"/>
        <w:rPr>
          <w:szCs w:val="21"/>
        </w:rPr>
      </w:pPr>
      <w:r>
        <w:rPr>
          <w:rFonts w:hAnsi="宋体"/>
          <w:szCs w:val="21"/>
        </w:rPr>
        <w:t>委托人：</w:t>
      </w:r>
      <w:r>
        <w:rPr>
          <w:szCs w:val="21"/>
          <w:u w:val="single"/>
        </w:rPr>
        <w:t xml:space="preserve">       </w:t>
      </w:r>
      <w:r>
        <w:rPr>
          <w:rFonts w:hAnsi="宋体"/>
          <w:szCs w:val="21"/>
          <w:u w:val="single"/>
        </w:rPr>
        <w:t>（盖章）</w:t>
      </w:r>
      <w:r>
        <w:rPr>
          <w:szCs w:val="21"/>
          <w:u w:val="single"/>
        </w:rPr>
        <w:t xml:space="preserve">          </w:t>
      </w:r>
      <w:r>
        <w:rPr>
          <w:szCs w:val="21"/>
        </w:rPr>
        <w:t xml:space="preserve">        </w:t>
      </w:r>
      <w:r>
        <w:rPr>
          <w:rFonts w:hAnsi="宋体"/>
          <w:szCs w:val="21"/>
        </w:rPr>
        <w:t>监理人：</w:t>
      </w:r>
      <w:r>
        <w:rPr>
          <w:szCs w:val="21"/>
          <w:u w:val="single"/>
        </w:rPr>
        <w:t xml:space="preserve">        </w:t>
      </w:r>
      <w:r>
        <w:rPr>
          <w:rFonts w:hAnsi="宋体"/>
          <w:szCs w:val="21"/>
          <w:u w:val="single"/>
        </w:rPr>
        <w:t>（盖章）</w:t>
      </w:r>
      <w:r>
        <w:rPr>
          <w:szCs w:val="21"/>
          <w:u w:val="single"/>
        </w:rPr>
        <w:t xml:space="preserve">           </w:t>
      </w:r>
    </w:p>
    <w:p>
      <w:pPr>
        <w:adjustRightInd w:val="0"/>
        <w:snapToGrid w:val="0"/>
        <w:spacing w:line="360" w:lineRule="auto"/>
        <w:ind w:right="-126" w:rightChars="-60" w:firstLine="415" w:firstLineChars="198"/>
        <w:rPr>
          <w:szCs w:val="21"/>
        </w:rPr>
      </w:pPr>
      <w:r>
        <w:rPr>
          <w:rFonts w:hAnsi="宋体"/>
          <w:szCs w:val="21"/>
        </w:rPr>
        <w:t>住所：</w:t>
      </w:r>
      <w:r>
        <w:rPr>
          <w:szCs w:val="21"/>
        </w:rPr>
        <w:t xml:space="preserve"> </w:t>
      </w:r>
      <w:r>
        <w:rPr>
          <w:szCs w:val="21"/>
          <w:u w:val="single"/>
        </w:rPr>
        <w:t xml:space="preserve">                          </w:t>
      </w:r>
      <w:r>
        <w:rPr>
          <w:szCs w:val="21"/>
        </w:rPr>
        <w:t xml:space="preserve">        </w:t>
      </w:r>
      <w:r>
        <w:rPr>
          <w:rFonts w:hAnsi="宋体"/>
          <w:szCs w:val="21"/>
        </w:rPr>
        <w:t>住所：</w:t>
      </w:r>
      <w:r>
        <w:rPr>
          <w:szCs w:val="21"/>
        </w:rPr>
        <w:t xml:space="preserve"> </w:t>
      </w:r>
      <w:r>
        <w:rPr>
          <w:szCs w:val="21"/>
          <w:u w:val="single"/>
        </w:rPr>
        <w:t xml:space="preserve">                            </w:t>
      </w:r>
    </w:p>
    <w:p>
      <w:pPr>
        <w:adjustRightInd w:val="0"/>
        <w:snapToGrid w:val="0"/>
        <w:spacing w:line="360" w:lineRule="auto"/>
        <w:ind w:right="-126" w:rightChars="-60" w:firstLine="420" w:firstLineChars="200"/>
        <w:rPr>
          <w:szCs w:val="21"/>
        </w:rPr>
      </w:pPr>
      <w:r>
        <w:rPr>
          <w:rFonts w:hAnsi="宋体"/>
          <w:szCs w:val="21"/>
        </w:rPr>
        <w:t>邮政编码：</w:t>
      </w:r>
      <w:r>
        <w:rPr>
          <w:szCs w:val="21"/>
          <w:u w:val="single"/>
        </w:rPr>
        <w:t xml:space="preserve">                       </w:t>
      </w:r>
      <w:r>
        <w:rPr>
          <w:szCs w:val="21"/>
        </w:rPr>
        <w:t xml:space="preserve">        </w:t>
      </w:r>
      <w:r>
        <w:rPr>
          <w:rFonts w:hAnsi="宋体"/>
          <w:szCs w:val="21"/>
        </w:rPr>
        <w:t>邮政编码：</w:t>
      </w:r>
      <w:r>
        <w:rPr>
          <w:szCs w:val="21"/>
          <w:u w:val="single"/>
        </w:rPr>
        <w:t xml:space="preserve">                         </w:t>
      </w:r>
    </w:p>
    <w:p>
      <w:pPr>
        <w:adjustRightInd w:val="0"/>
        <w:snapToGrid w:val="0"/>
        <w:spacing w:line="360" w:lineRule="auto"/>
        <w:ind w:right="-126" w:rightChars="-60" w:firstLine="415" w:firstLineChars="198"/>
        <w:rPr>
          <w:szCs w:val="21"/>
        </w:rPr>
      </w:pPr>
      <w:r>
        <w:rPr>
          <w:rFonts w:hAnsi="宋体"/>
          <w:szCs w:val="21"/>
        </w:rPr>
        <w:t>法定代表人或其授权代理人：</w:t>
      </w:r>
      <w:r>
        <w:rPr>
          <w:rFonts w:hAnsi="宋体"/>
          <w:szCs w:val="21"/>
          <w:u w:val="single"/>
        </w:rPr>
        <w:t>（签字）</w:t>
      </w:r>
      <w:r>
        <w:rPr>
          <w:szCs w:val="21"/>
        </w:rPr>
        <w:t xml:space="preserve">        </w:t>
      </w:r>
      <w:r>
        <w:rPr>
          <w:rFonts w:hAnsi="宋体"/>
          <w:szCs w:val="21"/>
        </w:rPr>
        <w:t>法定代表人或其授权代理人：</w:t>
      </w:r>
      <w:r>
        <w:rPr>
          <w:rFonts w:hAnsi="宋体"/>
          <w:szCs w:val="21"/>
          <w:u w:val="single"/>
        </w:rPr>
        <w:t>（签字）</w:t>
      </w:r>
    </w:p>
    <w:p>
      <w:pPr>
        <w:adjustRightInd w:val="0"/>
        <w:snapToGrid w:val="0"/>
        <w:spacing w:line="360" w:lineRule="auto"/>
        <w:ind w:right="-126" w:rightChars="-60" w:firstLine="415" w:firstLineChars="198"/>
        <w:rPr>
          <w:szCs w:val="21"/>
        </w:rPr>
      </w:pPr>
      <w:r>
        <w:rPr>
          <w:rFonts w:hAnsi="宋体"/>
          <w:szCs w:val="21"/>
        </w:rPr>
        <w:t>开户银行：</w:t>
      </w:r>
      <w:r>
        <w:rPr>
          <w:szCs w:val="21"/>
          <w:u w:val="single"/>
        </w:rPr>
        <w:t xml:space="preserve">                       </w:t>
      </w:r>
      <w:r>
        <w:rPr>
          <w:szCs w:val="21"/>
        </w:rPr>
        <w:t xml:space="preserve">        </w:t>
      </w:r>
      <w:r>
        <w:rPr>
          <w:rFonts w:hAnsi="宋体"/>
          <w:szCs w:val="21"/>
        </w:rPr>
        <w:t>开户银行：</w:t>
      </w:r>
      <w:r>
        <w:rPr>
          <w:szCs w:val="21"/>
          <w:u w:val="single"/>
        </w:rPr>
        <w:t xml:space="preserve">                         </w:t>
      </w:r>
    </w:p>
    <w:p>
      <w:pPr>
        <w:adjustRightInd w:val="0"/>
        <w:snapToGrid w:val="0"/>
        <w:spacing w:line="360" w:lineRule="auto"/>
        <w:ind w:right="-126" w:rightChars="-60" w:firstLine="415" w:firstLineChars="198"/>
        <w:rPr>
          <w:szCs w:val="21"/>
        </w:rPr>
      </w:pPr>
      <w:r>
        <w:rPr>
          <w:rFonts w:hAnsi="宋体"/>
          <w:szCs w:val="21"/>
        </w:rPr>
        <w:t>账号：</w:t>
      </w:r>
      <w:r>
        <w:rPr>
          <w:szCs w:val="21"/>
          <w:u w:val="single"/>
        </w:rPr>
        <w:t xml:space="preserve">                           </w:t>
      </w:r>
      <w:r>
        <w:rPr>
          <w:szCs w:val="21"/>
        </w:rPr>
        <w:t xml:space="preserve">        </w:t>
      </w:r>
      <w:r>
        <w:rPr>
          <w:rFonts w:hAnsi="宋体"/>
          <w:szCs w:val="21"/>
        </w:rPr>
        <w:t>账号：</w:t>
      </w:r>
      <w:r>
        <w:rPr>
          <w:szCs w:val="21"/>
          <w:u w:val="single"/>
        </w:rPr>
        <w:t xml:space="preserve">                             </w:t>
      </w:r>
    </w:p>
    <w:p>
      <w:pPr>
        <w:adjustRightInd w:val="0"/>
        <w:snapToGrid w:val="0"/>
        <w:spacing w:line="360" w:lineRule="auto"/>
        <w:ind w:right="-126" w:rightChars="-60" w:firstLine="415" w:firstLineChars="198"/>
        <w:rPr>
          <w:szCs w:val="21"/>
        </w:rPr>
      </w:pPr>
      <w:r>
        <w:rPr>
          <w:rFonts w:hAnsi="宋体"/>
          <w:szCs w:val="21"/>
        </w:rPr>
        <w:t>电话：</w:t>
      </w:r>
      <w:r>
        <w:rPr>
          <w:szCs w:val="21"/>
          <w:u w:val="single"/>
        </w:rPr>
        <w:t xml:space="preserve">                           </w:t>
      </w:r>
      <w:r>
        <w:rPr>
          <w:szCs w:val="21"/>
        </w:rPr>
        <w:t xml:space="preserve">        </w:t>
      </w:r>
      <w:r>
        <w:rPr>
          <w:rFonts w:hAnsi="宋体"/>
          <w:szCs w:val="21"/>
        </w:rPr>
        <w:t>电话：</w:t>
      </w:r>
      <w:r>
        <w:rPr>
          <w:szCs w:val="21"/>
          <w:u w:val="single"/>
        </w:rPr>
        <w:t xml:space="preserve">                             </w:t>
      </w:r>
    </w:p>
    <w:p>
      <w:pPr>
        <w:adjustRightInd w:val="0"/>
        <w:snapToGrid w:val="0"/>
        <w:spacing w:line="360" w:lineRule="auto"/>
        <w:ind w:right="-126" w:rightChars="-60" w:firstLine="415" w:firstLineChars="198"/>
        <w:rPr>
          <w:szCs w:val="21"/>
        </w:rPr>
      </w:pPr>
      <w:r>
        <w:rPr>
          <w:rFonts w:hAnsi="宋体"/>
          <w:szCs w:val="21"/>
        </w:rPr>
        <w:t>传真：</w:t>
      </w:r>
      <w:r>
        <w:rPr>
          <w:szCs w:val="21"/>
          <w:u w:val="single"/>
        </w:rPr>
        <w:t xml:space="preserve">                           </w:t>
      </w:r>
      <w:r>
        <w:rPr>
          <w:szCs w:val="21"/>
        </w:rPr>
        <w:t xml:space="preserve">        </w:t>
      </w:r>
      <w:r>
        <w:rPr>
          <w:rFonts w:hAnsi="宋体"/>
          <w:szCs w:val="21"/>
        </w:rPr>
        <w:t>传真：</w:t>
      </w:r>
      <w:r>
        <w:rPr>
          <w:szCs w:val="21"/>
          <w:u w:val="single"/>
        </w:rPr>
        <w:t xml:space="preserve">                             </w:t>
      </w:r>
    </w:p>
    <w:p>
      <w:pPr>
        <w:adjustRightInd w:val="0"/>
        <w:snapToGrid w:val="0"/>
        <w:spacing w:line="360" w:lineRule="auto"/>
        <w:ind w:right="-126" w:rightChars="-60" w:firstLine="415" w:firstLineChars="198"/>
        <w:rPr>
          <w:szCs w:val="21"/>
          <w:u w:val="single"/>
        </w:rPr>
      </w:pPr>
      <w:r>
        <w:rPr>
          <w:rFonts w:hAnsi="宋体"/>
          <w:szCs w:val="21"/>
        </w:rPr>
        <w:t>电子邮箱：</w:t>
      </w:r>
      <w:r>
        <w:rPr>
          <w:szCs w:val="21"/>
          <w:u w:val="single"/>
        </w:rPr>
        <w:t xml:space="preserve">                      </w:t>
      </w:r>
      <w:r>
        <w:rPr>
          <w:szCs w:val="21"/>
        </w:rPr>
        <w:t xml:space="preserve">         </w:t>
      </w:r>
      <w:r>
        <w:rPr>
          <w:rFonts w:hAnsi="宋体"/>
          <w:szCs w:val="21"/>
        </w:rPr>
        <w:t>电子邮箱：</w:t>
      </w:r>
      <w:r>
        <w:rPr>
          <w:szCs w:val="21"/>
          <w:u w:val="single"/>
        </w:rPr>
        <w:t xml:space="preserve">                         </w:t>
      </w:r>
    </w:p>
    <w:p>
      <w:pPr>
        <w:adjustRightInd w:val="0"/>
        <w:snapToGrid w:val="0"/>
        <w:spacing w:line="360" w:lineRule="auto"/>
        <w:ind w:right="-126" w:rightChars="-60" w:firstLine="475" w:firstLineChars="198"/>
        <w:rPr>
          <w:sz w:val="24"/>
          <w:u w:val="single"/>
        </w:rPr>
      </w:pPr>
    </w:p>
    <w:p>
      <w:pPr>
        <w:adjustRightInd w:val="0"/>
        <w:snapToGrid w:val="0"/>
        <w:spacing w:line="360" w:lineRule="auto"/>
        <w:ind w:right="-126" w:rightChars="-60" w:firstLine="475" w:firstLineChars="198"/>
        <w:rPr>
          <w:sz w:val="24"/>
          <w:u w:val="single"/>
        </w:rPr>
        <w:sectPr>
          <w:pgSz w:w="11907" w:h="16840"/>
          <w:pgMar w:top="1440" w:right="1440" w:bottom="1440" w:left="1797" w:header="567" w:footer="591" w:gutter="0"/>
          <w:cols w:space="720" w:num="1"/>
          <w:docGrid w:linePitch="312" w:charSpace="0"/>
        </w:sectPr>
      </w:pPr>
    </w:p>
    <w:p>
      <w:pPr>
        <w:pStyle w:val="3"/>
      </w:pPr>
      <w:bookmarkStart w:id="42" w:name="_Toc20323409"/>
      <w:bookmarkStart w:id="43" w:name="_Toc392940991"/>
      <w:bookmarkStart w:id="44" w:name="_Toc459567808"/>
      <w:r>
        <w:t>第二部分  通用条件</w:t>
      </w:r>
      <w:bookmarkEnd w:id="42"/>
      <w:bookmarkEnd w:id="43"/>
      <w:bookmarkEnd w:id="44"/>
    </w:p>
    <w:p>
      <w:pPr>
        <w:spacing w:line="360" w:lineRule="auto"/>
        <w:rPr>
          <w:rFonts w:hAnsi="宋体"/>
          <w:b/>
          <w:kern w:val="0"/>
          <w:szCs w:val="21"/>
        </w:rPr>
      </w:pPr>
      <w:r>
        <w:rPr>
          <w:rFonts w:hint="eastAsia" w:hAnsi="宋体"/>
          <w:b/>
          <w:kern w:val="0"/>
          <w:szCs w:val="21"/>
        </w:rPr>
        <w:t>采用《</w:t>
      </w:r>
      <w:r>
        <w:rPr>
          <w:rFonts w:hAnsi="宋体"/>
          <w:b/>
          <w:kern w:val="0"/>
          <w:szCs w:val="21"/>
        </w:rPr>
        <w:t>建设工程</w:t>
      </w:r>
      <w:r>
        <w:rPr>
          <w:rFonts w:hint="eastAsia" w:hAnsi="宋体"/>
          <w:b/>
          <w:kern w:val="0"/>
          <w:szCs w:val="21"/>
        </w:rPr>
        <w:t>监理</w:t>
      </w:r>
      <w:r>
        <w:rPr>
          <w:rFonts w:hAnsi="宋体"/>
          <w:b/>
          <w:kern w:val="0"/>
          <w:szCs w:val="21"/>
        </w:rPr>
        <w:t>合同（示范文本）</w:t>
      </w:r>
      <w:r>
        <w:rPr>
          <w:rFonts w:hint="eastAsia" w:hAnsi="宋体"/>
          <w:b/>
          <w:kern w:val="0"/>
          <w:szCs w:val="21"/>
        </w:rPr>
        <w:t>》</w:t>
      </w:r>
      <w:r>
        <w:rPr>
          <w:rFonts w:hAnsi="宋体"/>
          <w:b/>
          <w:kern w:val="0"/>
          <w:szCs w:val="21"/>
        </w:rPr>
        <w:t>（ＧＦ－2012－0202）</w:t>
      </w:r>
      <w:r>
        <w:rPr>
          <w:rFonts w:hint="eastAsia" w:hAnsi="宋体"/>
          <w:b/>
          <w:kern w:val="0"/>
          <w:szCs w:val="21"/>
        </w:rPr>
        <w:t>。</w:t>
      </w:r>
    </w:p>
    <w:p>
      <w:pPr>
        <w:pStyle w:val="3"/>
      </w:pPr>
      <w:bookmarkStart w:id="45" w:name="_Toc459567809"/>
      <w:bookmarkStart w:id="46" w:name="_Toc20323410"/>
      <w:bookmarkStart w:id="47" w:name="_Toc392940992"/>
      <w:r>
        <w:t>第三部分  专用条件</w:t>
      </w:r>
      <w:bookmarkEnd w:id="45"/>
      <w:bookmarkEnd w:id="46"/>
      <w:bookmarkEnd w:id="47"/>
    </w:p>
    <w:p>
      <w:pPr>
        <w:pStyle w:val="4"/>
      </w:pPr>
      <w:bookmarkStart w:id="48" w:name="_Toc20323411"/>
      <w:bookmarkStart w:id="49" w:name="_Toc459567810"/>
      <w:r>
        <w:t>1. 定义与解释</w:t>
      </w:r>
      <w:bookmarkEnd w:id="48"/>
      <w:bookmarkEnd w:id="49"/>
    </w:p>
    <w:p>
      <w:pPr>
        <w:adjustRightInd w:val="0"/>
        <w:snapToGrid w:val="0"/>
        <w:spacing w:line="360" w:lineRule="auto"/>
        <w:rPr>
          <w:szCs w:val="21"/>
        </w:rPr>
      </w:pPr>
      <w:r>
        <w:rPr>
          <w:szCs w:val="21"/>
        </w:rPr>
        <w:t xml:space="preserve">1.2  </w:t>
      </w:r>
      <w:r>
        <w:rPr>
          <w:rFonts w:hAnsi="宋体"/>
          <w:szCs w:val="21"/>
        </w:rPr>
        <w:t>解释</w:t>
      </w:r>
    </w:p>
    <w:p>
      <w:pPr>
        <w:adjustRightInd w:val="0"/>
        <w:snapToGrid w:val="0"/>
        <w:spacing w:line="360" w:lineRule="auto"/>
        <w:ind w:firstLine="420" w:firstLineChars="200"/>
        <w:rPr>
          <w:szCs w:val="21"/>
        </w:rPr>
      </w:pPr>
      <w:r>
        <w:rPr>
          <w:szCs w:val="21"/>
        </w:rPr>
        <w:t xml:space="preserve">1.2.1 </w:t>
      </w:r>
      <w:r>
        <w:rPr>
          <w:rFonts w:hAnsi="宋体"/>
          <w:szCs w:val="21"/>
        </w:rPr>
        <w:t>本合同文件除使用中文外，还可用</w:t>
      </w:r>
      <w:r>
        <w:rPr>
          <w:szCs w:val="21"/>
          <w:u w:val="single"/>
        </w:rPr>
        <w:t xml:space="preserve">  </w:t>
      </w:r>
      <w:r>
        <w:rPr>
          <w:rFonts w:hint="eastAsia" w:hAnsi="宋体"/>
          <w:szCs w:val="21"/>
          <w:u w:val="single"/>
        </w:rPr>
        <w:t xml:space="preserve">           /            </w:t>
      </w:r>
      <w:r>
        <w:rPr>
          <w:szCs w:val="21"/>
          <w:u w:val="single"/>
        </w:rPr>
        <w:t xml:space="preserve"> </w:t>
      </w:r>
      <w:r>
        <w:rPr>
          <w:rFonts w:hAnsi="宋体"/>
          <w:szCs w:val="21"/>
        </w:rPr>
        <w:t>。</w:t>
      </w:r>
    </w:p>
    <w:p>
      <w:pPr>
        <w:adjustRightInd w:val="0"/>
        <w:snapToGrid w:val="0"/>
        <w:spacing w:line="360" w:lineRule="auto"/>
        <w:ind w:firstLine="420" w:firstLineChars="200"/>
        <w:rPr>
          <w:szCs w:val="21"/>
          <w:u w:val="single"/>
        </w:rPr>
      </w:pPr>
      <w:r>
        <w:rPr>
          <w:szCs w:val="21"/>
        </w:rPr>
        <w:t xml:space="preserve">1.2.2 </w:t>
      </w:r>
      <w:r>
        <w:rPr>
          <w:rFonts w:hAnsi="宋体"/>
          <w:szCs w:val="21"/>
        </w:rPr>
        <w:t>约定本合同文件的解释顺序为：</w:t>
      </w:r>
      <w:r>
        <w:rPr>
          <w:rFonts w:hint="eastAsia" w:ascii="宋体" w:hAnsi="宋体" w:cs="宋体"/>
          <w:szCs w:val="21"/>
          <w:u w:val="single"/>
        </w:rPr>
        <w:t>本合同的协议书、本合同专用条款、本合同通用条款、技术标准、规范及有关技术文件、成交通知书、招标文件及附件（含所有补充通知）；合同履行中，采购人和咨询人有关洽商、变更等书面协议或文件视为本合同的组成部分</w:t>
      </w:r>
    </w:p>
    <w:p>
      <w:pPr>
        <w:pStyle w:val="4"/>
      </w:pPr>
      <w:bookmarkStart w:id="50" w:name="_Toc20323412"/>
      <w:bookmarkStart w:id="51" w:name="_Toc459567811"/>
      <w:r>
        <w:t>2. 监理人义务</w:t>
      </w:r>
      <w:bookmarkEnd w:id="50"/>
      <w:bookmarkEnd w:id="51"/>
    </w:p>
    <w:p>
      <w:pPr>
        <w:spacing w:line="360" w:lineRule="auto"/>
        <w:outlineLvl w:val="0"/>
      </w:pPr>
      <w:bookmarkStart w:id="52" w:name="_Toc20323413"/>
      <w:bookmarkStart w:id="53" w:name="_Toc488850372"/>
      <w:bookmarkStart w:id="54" w:name="_Toc459567812"/>
      <w:bookmarkStart w:id="55" w:name="_Toc473030505"/>
      <w:r>
        <w:t>2.1 监理的范围和</w:t>
      </w:r>
      <w:r>
        <w:rPr>
          <w:bCs/>
        </w:rPr>
        <w:t>内容</w:t>
      </w:r>
      <w:bookmarkEnd w:id="52"/>
      <w:bookmarkEnd w:id="53"/>
      <w:bookmarkEnd w:id="54"/>
      <w:bookmarkEnd w:id="55"/>
    </w:p>
    <w:p>
      <w:pPr>
        <w:adjustRightInd w:val="0"/>
        <w:snapToGrid w:val="0"/>
        <w:spacing w:line="360" w:lineRule="auto"/>
        <w:ind w:firstLine="420" w:firstLineChars="200"/>
        <w:rPr>
          <w:szCs w:val="21"/>
          <w:u w:val="single"/>
        </w:rPr>
      </w:pPr>
      <w:r>
        <w:rPr>
          <w:szCs w:val="21"/>
        </w:rPr>
        <w:t xml:space="preserve">2.1.1 </w:t>
      </w:r>
      <w:r>
        <w:rPr>
          <w:rFonts w:hAnsi="宋体"/>
          <w:szCs w:val="21"/>
        </w:rPr>
        <w:t>监理范围包括：本合同约定的监理服务，</w:t>
      </w:r>
      <w:r>
        <w:rPr>
          <w:rFonts w:hint="eastAsia" w:hAnsi="宋体"/>
          <w:b/>
          <w:bCs/>
          <w:szCs w:val="21"/>
        </w:rPr>
        <w:t>包括</w:t>
      </w:r>
      <w:r>
        <w:rPr>
          <w:rFonts w:hint="eastAsia" w:hAnsi="宋体"/>
          <w:b/>
          <w:bCs/>
          <w:szCs w:val="21"/>
          <w:u w:val="single"/>
        </w:rPr>
        <w:t xml:space="preserve">  施工、保修   </w:t>
      </w:r>
      <w:r>
        <w:rPr>
          <w:rFonts w:hint="eastAsia" w:hAnsi="宋体"/>
          <w:b/>
          <w:bCs/>
          <w:szCs w:val="21"/>
        </w:rPr>
        <w:t>阶段的监理，</w:t>
      </w:r>
      <w:r>
        <w:rPr>
          <w:rFonts w:hint="eastAsia" w:hAnsi="宋体"/>
          <w:szCs w:val="21"/>
        </w:rPr>
        <w:t>但</w:t>
      </w:r>
      <w:r>
        <w:rPr>
          <w:rFonts w:hAnsi="宋体"/>
          <w:szCs w:val="21"/>
        </w:rPr>
        <w:t>不包括非监理人原因引起的工程延期阶段的监理服务</w:t>
      </w:r>
      <w:r>
        <w:rPr>
          <w:rFonts w:hint="eastAsia" w:hAnsi="宋体"/>
          <w:szCs w:val="21"/>
        </w:rPr>
        <w:t xml:space="preserve">  </w:t>
      </w:r>
      <w:r>
        <w:rPr>
          <w:rFonts w:hAnsi="宋体"/>
          <w:szCs w:val="21"/>
        </w:rPr>
        <w:t>。</w:t>
      </w:r>
    </w:p>
    <w:p>
      <w:pPr>
        <w:adjustRightInd w:val="0"/>
        <w:snapToGrid w:val="0"/>
        <w:spacing w:line="360" w:lineRule="auto"/>
        <w:ind w:firstLine="420" w:firstLineChars="200"/>
        <w:rPr>
          <w:szCs w:val="21"/>
          <w:u w:val="single"/>
        </w:rPr>
      </w:pPr>
      <w:r>
        <w:rPr>
          <w:szCs w:val="21"/>
        </w:rPr>
        <w:t xml:space="preserve">2.1.2 </w:t>
      </w:r>
      <w:r>
        <w:rPr>
          <w:rFonts w:hAnsi="宋体"/>
          <w:szCs w:val="21"/>
        </w:rPr>
        <w:t>监理工作内容还包括：</w:t>
      </w:r>
      <w:r>
        <w:rPr>
          <w:szCs w:val="21"/>
          <w:u w:val="single"/>
        </w:rPr>
        <w:t xml:space="preserve">  </w:t>
      </w:r>
      <w:r>
        <w:rPr>
          <w:rFonts w:hint="eastAsia"/>
          <w:szCs w:val="21"/>
          <w:u w:val="single"/>
        </w:rPr>
        <w:t>审查施工单位提交的施工组织设计和质量安全体系、技术文件，做好工程材料的见证取样工作，督促施工单位严格执行施工合同，做好工程的质量、安全、投资和进度控制、协调业主和施工方等各方关系，做好各种中间验收和竣工验收等现行相关法律法规要求的内容</w:t>
      </w:r>
      <w:r>
        <w:rPr>
          <w:szCs w:val="21"/>
          <w:u w:val="single"/>
        </w:rPr>
        <w:t xml:space="preserve">  </w:t>
      </w:r>
      <w:r>
        <w:rPr>
          <w:rFonts w:hAnsi="宋体"/>
          <w:szCs w:val="21"/>
        </w:rPr>
        <w:t>。</w:t>
      </w:r>
    </w:p>
    <w:p>
      <w:pPr>
        <w:spacing w:line="360" w:lineRule="auto"/>
        <w:outlineLvl w:val="0"/>
      </w:pPr>
      <w:bookmarkStart w:id="56" w:name="_Toc488850373"/>
      <w:bookmarkStart w:id="57" w:name="_Toc473030506"/>
      <w:bookmarkStart w:id="58" w:name="_Toc459567813"/>
      <w:bookmarkStart w:id="59" w:name="_Toc20323414"/>
      <w:r>
        <w:t>2.2 监理与相关服务依据</w:t>
      </w:r>
      <w:bookmarkEnd w:id="56"/>
      <w:bookmarkEnd w:id="57"/>
      <w:bookmarkEnd w:id="58"/>
      <w:bookmarkEnd w:id="59"/>
    </w:p>
    <w:p>
      <w:pPr>
        <w:spacing w:line="360" w:lineRule="auto"/>
        <w:ind w:firstLine="420" w:firstLineChars="200"/>
        <w:rPr>
          <w:szCs w:val="21"/>
        </w:rPr>
      </w:pPr>
      <w:r>
        <w:rPr>
          <w:szCs w:val="21"/>
        </w:rPr>
        <w:t xml:space="preserve">2.2.1 </w:t>
      </w:r>
      <w:r>
        <w:rPr>
          <w:rFonts w:hAnsi="宋体"/>
          <w:szCs w:val="21"/>
        </w:rPr>
        <w:t>监理依据包括：</w:t>
      </w:r>
      <w:r>
        <w:rPr>
          <w:szCs w:val="21"/>
          <w:u w:val="single"/>
        </w:rPr>
        <w:t xml:space="preserve">   </w:t>
      </w:r>
      <w:r>
        <w:rPr>
          <w:rFonts w:hint="eastAsia"/>
          <w:szCs w:val="21"/>
          <w:u w:val="single"/>
        </w:rPr>
        <w:t>1、建设工程委托监理合同；2、建设工程施工合同；3、工程项目的勘察设计文件、施工图纸及工程变更资料；4、中标通知书、标底计算书、投标书；5、国家有关工程建设方面的法律、法规和规章；6、建设工程方面的施工技术标准、规范及验收标准和验收规范；7、建设工程质量监督、竣工验收与备案实施有关文件。8、《建筑法》、《合同法》等中华人民共和国现行的法律法规及各类技术规范规定。9、施工图纸、预算书及有关文件（包括变更文件）等。</w:t>
      </w:r>
      <w:r>
        <w:rPr>
          <w:szCs w:val="21"/>
          <w:u w:val="single"/>
        </w:rPr>
        <w:t xml:space="preserve">    </w:t>
      </w:r>
      <w:r>
        <w:rPr>
          <w:rFonts w:hAnsi="宋体"/>
          <w:szCs w:val="21"/>
        </w:rPr>
        <w:t>。</w:t>
      </w:r>
    </w:p>
    <w:p>
      <w:pPr>
        <w:adjustRightInd w:val="0"/>
        <w:snapToGrid w:val="0"/>
        <w:spacing w:line="360" w:lineRule="auto"/>
        <w:ind w:firstLine="420" w:firstLineChars="200"/>
        <w:rPr>
          <w:dstrike/>
          <w:szCs w:val="21"/>
        </w:rPr>
      </w:pPr>
      <w:r>
        <w:rPr>
          <w:szCs w:val="21"/>
        </w:rPr>
        <w:t xml:space="preserve">2.2.2 </w:t>
      </w:r>
      <w:r>
        <w:rPr>
          <w:rFonts w:hAnsi="宋体"/>
          <w:szCs w:val="21"/>
        </w:rPr>
        <w:t>相关服务依据包括：</w:t>
      </w:r>
      <w:r>
        <w:rPr>
          <w:szCs w:val="21"/>
          <w:u w:val="single"/>
        </w:rPr>
        <w:t xml:space="preserve">   </w:t>
      </w:r>
      <w:r>
        <w:rPr>
          <w:rFonts w:hint="eastAsia" w:ascii="宋体" w:hAnsi="宋体"/>
          <w:szCs w:val="21"/>
          <w:u w:val="single"/>
        </w:rPr>
        <w:t xml:space="preserve">现行相关法律法规要求的内容 </w:t>
      </w:r>
      <w:r>
        <w:rPr>
          <w:szCs w:val="21"/>
          <w:u w:val="single"/>
        </w:rPr>
        <w:t xml:space="preserve">  </w:t>
      </w:r>
      <w:r>
        <w:rPr>
          <w:rFonts w:hAnsi="宋体"/>
          <w:szCs w:val="21"/>
        </w:rPr>
        <w:t>。</w:t>
      </w:r>
    </w:p>
    <w:p>
      <w:pPr>
        <w:spacing w:line="360" w:lineRule="auto"/>
        <w:rPr>
          <w:rFonts w:hAnsi="宋体"/>
          <w:kern w:val="0"/>
          <w:szCs w:val="21"/>
        </w:rPr>
      </w:pPr>
      <w:r>
        <w:rPr>
          <w:szCs w:val="21"/>
        </w:rPr>
        <w:t>2.3</w:t>
      </w:r>
      <w:r>
        <w:rPr>
          <w:rFonts w:hAnsi="宋体"/>
          <w:kern w:val="0"/>
          <w:szCs w:val="21"/>
        </w:rPr>
        <w:t>项目监理机构和人员</w:t>
      </w:r>
    </w:p>
    <w:p>
      <w:pPr>
        <w:spacing w:line="360" w:lineRule="exact"/>
        <w:ind w:firstLine="315" w:firstLineChars="150"/>
        <w:rPr>
          <w:rFonts w:hAnsi="宋体"/>
          <w:szCs w:val="21"/>
        </w:rPr>
      </w:pPr>
      <w:r>
        <w:rPr>
          <w:rFonts w:hint="eastAsia" w:hAnsi="宋体"/>
          <w:szCs w:val="21"/>
        </w:rPr>
        <w:t>总监理工程师（项目负责人）为</w:t>
      </w:r>
      <w:r>
        <w:rPr>
          <w:rFonts w:hAnsi="宋体"/>
          <w:szCs w:val="21"/>
          <w:u w:val="single"/>
        </w:rPr>
        <w:t xml:space="preserve">     </w:t>
      </w:r>
      <w:r>
        <w:rPr>
          <w:rFonts w:hint="eastAsia" w:hAnsi="宋体"/>
          <w:szCs w:val="21"/>
        </w:rPr>
        <w:t>，总监理工程师（项目负责人）应常驻现场，每月</w:t>
      </w:r>
    </w:p>
    <w:p>
      <w:pPr>
        <w:spacing w:line="360" w:lineRule="exact"/>
        <w:ind w:firstLine="315" w:firstLineChars="150"/>
        <w:rPr>
          <w:rFonts w:hAnsi="宋体"/>
          <w:szCs w:val="21"/>
        </w:rPr>
      </w:pPr>
      <w:r>
        <w:rPr>
          <w:rFonts w:hint="eastAsia" w:hAnsi="宋体"/>
          <w:szCs w:val="21"/>
        </w:rPr>
        <w:t>在现场工作时间应不少于</w:t>
      </w:r>
      <w:r>
        <w:rPr>
          <w:rFonts w:hAnsi="宋体"/>
          <w:szCs w:val="21"/>
          <w:u w:val="single"/>
        </w:rPr>
        <w:t xml:space="preserve"> 22 </w:t>
      </w:r>
      <w:r>
        <w:rPr>
          <w:rFonts w:hint="eastAsia" w:hAnsi="宋体"/>
          <w:szCs w:val="21"/>
        </w:rPr>
        <w:t>日，否则委托人将按少于</w:t>
      </w:r>
      <w:r>
        <w:rPr>
          <w:rFonts w:hAnsi="宋体"/>
          <w:szCs w:val="21"/>
          <w:u w:val="single"/>
        </w:rPr>
        <w:t xml:space="preserve"> 22 </w:t>
      </w:r>
      <w:r>
        <w:rPr>
          <w:rFonts w:hint="eastAsia" w:hAnsi="宋体"/>
          <w:szCs w:val="21"/>
        </w:rPr>
        <w:t>日的天数每日</w:t>
      </w:r>
      <w:r>
        <w:rPr>
          <w:rFonts w:hAnsi="宋体"/>
          <w:szCs w:val="21"/>
        </w:rPr>
        <w:t xml:space="preserve"> 1000 </w:t>
      </w:r>
      <w:r>
        <w:rPr>
          <w:rFonts w:hint="eastAsia" w:hAnsi="宋体"/>
          <w:szCs w:val="21"/>
        </w:rPr>
        <w:t>元对监理人处罚。监理服务期（尤其是施工阶段）内，监理人应认真执行监理人员进场计划，并保持相对稳定。</w:t>
      </w:r>
      <w:r>
        <w:rPr>
          <w:rFonts w:hAnsi="宋体"/>
          <w:szCs w:val="21"/>
        </w:rPr>
        <w:t xml:space="preserve"> </w:t>
      </w:r>
    </w:p>
    <w:p>
      <w:pPr>
        <w:spacing w:line="360" w:lineRule="exact"/>
        <w:ind w:firstLine="315" w:firstLineChars="150"/>
        <w:rPr>
          <w:rFonts w:hAnsi="宋体"/>
          <w:szCs w:val="21"/>
        </w:rPr>
      </w:pPr>
      <w:r>
        <w:rPr>
          <w:rFonts w:hint="eastAsia" w:hAnsi="宋体"/>
          <w:szCs w:val="21"/>
        </w:rPr>
        <w:t>施工现场到位的监理人员与投标文件承诺的监理人员不一致时，将视为投标人中标后违约，</w:t>
      </w:r>
      <w:r>
        <w:rPr>
          <w:rFonts w:hAnsi="宋体"/>
          <w:szCs w:val="21"/>
        </w:rPr>
        <w:t xml:space="preserve"> </w:t>
      </w:r>
      <w:r>
        <w:rPr>
          <w:rFonts w:hint="eastAsia" w:hAnsi="宋体"/>
          <w:szCs w:val="21"/>
        </w:rPr>
        <w:t>情节严重时，将终止合同。擅自变更的，也视为监理人违约，委托人有权拒付调换人员的监理</w:t>
      </w:r>
      <w:r>
        <w:rPr>
          <w:rFonts w:hAnsi="宋体"/>
          <w:szCs w:val="21"/>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10696575</wp:posOffset>
                </wp:positionV>
                <wp:extent cx="12700" cy="12700"/>
                <wp:effectExtent l="6350" t="6350" r="19050" b="9525"/>
                <wp:wrapNone/>
                <wp:docPr id="1" name="文本框 24"/>
                <wp:cNvGraphicFramePr/>
                <a:graphic xmlns:a="http://schemas.openxmlformats.org/drawingml/2006/main">
                  <a:graphicData uri="http://schemas.microsoft.com/office/word/2010/wordprocessingShape">
                    <wps:wsp>
                      <wps:cNvSpPr txBox="1"/>
                      <wps:spPr>
                        <a:xfrm>
                          <a:off x="0" y="0"/>
                          <a:ext cx="12700" cy="12700"/>
                        </a:xfrm>
                        <a:prstGeom prst="rect">
                          <a:avLst/>
                        </a:prstGeom>
                        <a:solidFill>
                          <a:srgbClr val="FFFF4C">
                            <a:alpha val="70000"/>
                          </a:srgbClr>
                        </a:solidFill>
                        <a:ln w="12700" cap="flat" cmpd="sng">
                          <a:solidFill>
                            <a:srgbClr val="000000"/>
                          </a:solidFill>
                          <a:prstDash val="solid"/>
                          <a:miter/>
                          <a:headEnd type="none" w="med" len="med"/>
                          <a:tailEnd type="none" w="med" len="med"/>
                        </a:ln>
                      </wps:spPr>
                      <wps:txbx>
                        <w:txbxContent>
                          <w:p>
                            <w:pPr>
                              <w:pStyle w:val="5"/>
                              <w:kinsoku w:val="0"/>
                              <w:overflowPunct w:val="0"/>
                              <w:spacing w:before="92"/>
                              <w:ind w:left="40" w:right="38"/>
                              <w:rPr>
                                <w:rFonts w:ascii="Arial" w:hAnsi="Arial" w:cs="Arial"/>
                                <w:sz w:val="20"/>
                                <w:szCs w:val="20"/>
                              </w:rPr>
                            </w:pPr>
                            <w:r>
                              <w:rPr>
                                <w:rFonts w:ascii="Arial" w:hAnsi="Arial" w:cs="Arial"/>
                                <w:sz w:val="20"/>
                                <w:szCs w:val="20"/>
                              </w:rPr>
                              <w:t>--------------------------------------------</w:t>
                            </w:r>
                          </w:p>
                          <w:p>
                            <w:pPr>
                              <w:pStyle w:val="5"/>
                              <w:kinsoku w:val="0"/>
                              <w:overflowPunct w:val="0"/>
                              <w:spacing w:line="330" w:lineRule="exact"/>
                              <w:ind w:left="40" w:right="38"/>
                              <w:rPr>
                                <w:rFonts w:ascii="Arial" w:hAnsi="Arial" w:cs="Arial"/>
                                <w:i/>
                                <w:iCs/>
                                <w:sz w:val="16"/>
                                <w:szCs w:val="16"/>
                              </w:rPr>
                            </w:pPr>
                            <w:r>
                              <w:rPr>
                                <w:rFonts w:ascii="Arial" w:hAnsi="Arial" w:cs="Arial"/>
                                <w:i/>
                                <w:iCs/>
                                <w:sz w:val="16"/>
                                <w:szCs w:val="16"/>
                              </w:rPr>
                              <w:t xml:space="preserve"> </w:t>
                            </w:r>
                          </w:p>
                        </w:txbxContent>
                      </wps:txbx>
                      <wps:bodyPr lIns="0" tIns="0" rIns="0" bIns="0" upright="1"/>
                    </wps:wsp>
                  </a:graphicData>
                </a:graphic>
              </wp:anchor>
            </w:drawing>
          </mc:Choice>
          <mc:Fallback>
            <w:pict>
              <v:shape id="文本框 24" o:spid="_x0000_s1026" o:spt="202" type="#_x0000_t202" style="position:absolute;left:0pt;margin-left:0pt;margin-top:842.25pt;height:1pt;width:1pt;mso-position-horizontal-relative:page;mso-position-vertical-relative:page;z-index:251659264;mso-width-relative:page;mso-height-relative:page;" fillcolor="#FFFF4C" filled="t" stroked="t" coordsize="21600,21600" o:allowincell="f" o:gfxdata="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5q4p0QAAAAgB&#10;AAAPAAAAAAAAAAEAIAAAACIAAABkcnMvZG93bnJldi54bWxQSwECFAAUAAAACACHTuJAg3wP/yIC&#10;AAB6BAAADgAAAAAAAAABACAAAAAgAQAAZHJzL2Uyb0RvYy54bWxQSwUGAAAAAAYABgBZAQAAtAUA&#10;AAAA&#10;">
                <v:fill on="t" opacity="45875f" focussize="0,0"/>
                <v:stroke weight="1pt" color="#000000" joinstyle="miter"/>
                <v:imagedata o:title=""/>
                <o:lock v:ext="edit" aspectratio="f"/>
                <v:textbox inset="0mm,0mm,0mm,0mm">
                  <w:txbxContent>
                    <w:p>
                      <w:pPr>
                        <w:pStyle w:val="5"/>
                        <w:kinsoku w:val="0"/>
                        <w:overflowPunct w:val="0"/>
                        <w:spacing w:before="92"/>
                        <w:ind w:left="40" w:right="38"/>
                        <w:rPr>
                          <w:rFonts w:ascii="Arial" w:hAnsi="Arial" w:cs="Arial"/>
                          <w:sz w:val="20"/>
                          <w:szCs w:val="20"/>
                        </w:rPr>
                      </w:pPr>
                      <w:r>
                        <w:rPr>
                          <w:rFonts w:ascii="Arial" w:hAnsi="Arial" w:cs="Arial"/>
                          <w:sz w:val="20"/>
                          <w:szCs w:val="20"/>
                        </w:rPr>
                        <w:t>--------------------------------------------</w:t>
                      </w:r>
                    </w:p>
                    <w:p>
                      <w:pPr>
                        <w:pStyle w:val="5"/>
                        <w:kinsoku w:val="0"/>
                        <w:overflowPunct w:val="0"/>
                        <w:spacing w:line="330" w:lineRule="exact"/>
                        <w:ind w:left="40" w:right="38"/>
                        <w:rPr>
                          <w:rFonts w:ascii="Arial" w:hAnsi="Arial" w:cs="Arial"/>
                          <w:i/>
                          <w:iCs/>
                          <w:sz w:val="16"/>
                          <w:szCs w:val="16"/>
                        </w:rPr>
                      </w:pPr>
                      <w:r>
                        <w:rPr>
                          <w:rFonts w:ascii="Arial" w:hAnsi="Arial" w:cs="Arial"/>
                          <w:i/>
                          <w:iCs/>
                          <w:sz w:val="16"/>
                          <w:szCs w:val="16"/>
                        </w:rPr>
                        <w:t xml:space="preserve"> </w:t>
                      </w:r>
                    </w:p>
                  </w:txbxContent>
                </v:textbox>
              </v:shape>
            </w:pict>
          </mc:Fallback>
        </mc:AlternateContent>
      </w:r>
      <w:r>
        <w:rPr>
          <w:rFonts w:hint="eastAsia" w:hAnsi="宋体"/>
          <w:szCs w:val="21"/>
        </w:rPr>
        <w:t>费用，直至终止合同并要求监理人承担相应赔偿责任。</w:t>
      </w:r>
    </w:p>
    <w:p>
      <w:pPr>
        <w:pStyle w:val="10"/>
        <w:ind w:firstLine="0" w:firstLineChars="0"/>
        <w:jc w:val="left"/>
      </w:pPr>
    </w:p>
    <w:p>
      <w:pPr>
        <w:adjustRightInd w:val="0"/>
        <w:snapToGrid w:val="0"/>
        <w:spacing w:line="360" w:lineRule="auto"/>
        <w:ind w:firstLine="420" w:firstLineChars="200"/>
        <w:rPr>
          <w:kern w:val="0"/>
          <w:szCs w:val="21"/>
        </w:rPr>
      </w:pPr>
      <w:r>
        <w:rPr>
          <w:rFonts w:hAnsi="宋体"/>
          <w:kern w:val="0"/>
          <w:szCs w:val="21"/>
        </w:rPr>
        <w:t>更换监理人员的其他情形：</w:t>
      </w:r>
      <w:r>
        <w:rPr>
          <w:rFonts w:hint="eastAsia" w:hAnsi="宋体"/>
          <w:kern w:val="0"/>
          <w:szCs w:val="21"/>
          <w:u w:val="single"/>
        </w:rPr>
        <w:t xml:space="preserve">  </w:t>
      </w:r>
      <w:r>
        <w:rPr>
          <w:rFonts w:hAnsi="宋体"/>
          <w:kern w:val="0"/>
          <w:szCs w:val="21"/>
          <w:u w:val="single"/>
        </w:rPr>
        <w:t>如监理人需要调换施工现场监理人员时，须经委托人与监理人双方协商，报委托人同意后生效</w:t>
      </w:r>
      <w:r>
        <w:rPr>
          <w:rFonts w:hint="eastAsia" w:hAnsi="宋体"/>
          <w:kern w:val="0"/>
          <w:szCs w:val="21"/>
          <w:u w:val="single"/>
        </w:rPr>
        <w:t xml:space="preserve"> </w:t>
      </w:r>
      <w:r>
        <w:rPr>
          <w:kern w:val="0"/>
          <w:szCs w:val="21"/>
          <w:u w:val="single"/>
        </w:rPr>
        <w:t xml:space="preserve"> </w:t>
      </w:r>
      <w:r>
        <w:rPr>
          <w:rFonts w:hAnsi="宋体"/>
          <w:kern w:val="0"/>
          <w:szCs w:val="21"/>
        </w:rPr>
        <w:t>。</w:t>
      </w:r>
    </w:p>
    <w:p>
      <w:pPr>
        <w:spacing w:line="360" w:lineRule="auto"/>
        <w:outlineLvl w:val="0"/>
      </w:pPr>
      <w:bookmarkStart w:id="60" w:name="_Toc473030507"/>
      <w:bookmarkStart w:id="61" w:name="_Toc20323415"/>
      <w:bookmarkStart w:id="62" w:name="_Toc459567814"/>
      <w:bookmarkStart w:id="63" w:name="_Toc488850374"/>
      <w:r>
        <w:t>2.4 履行职责</w:t>
      </w:r>
      <w:bookmarkEnd w:id="60"/>
      <w:bookmarkEnd w:id="61"/>
      <w:bookmarkEnd w:id="62"/>
      <w:bookmarkEnd w:id="63"/>
    </w:p>
    <w:p>
      <w:pPr>
        <w:adjustRightInd w:val="0"/>
        <w:snapToGrid w:val="0"/>
        <w:spacing w:line="360" w:lineRule="auto"/>
        <w:ind w:firstLine="420" w:firstLineChars="200"/>
        <w:rPr>
          <w:szCs w:val="21"/>
          <w:u w:val="single"/>
        </w:rPr>
      </w:pPr>
      <w:r>
        <w:rPr>
          <w:szCs w:val="21"/>
        </w:rPr>
        <w:t>2.4.</w:t>
      </w:r>
      <w:r>
        <w:rPr>
          <w:rFonts w:hint="eastAsia"/>
          <w:szCs w:val="21"/>
        </w:rPr>
        <w:t>1</w:t>
      </w:r>
      <w:r>
        <w:rPr>
          <w:szCs w:val="21"/>
        </w:rPr>
        <w:t xml:space="preserve"> </w:t>
      </w:r>
      <w:r>
        <w:rPr>
          <w:rFonts w:hAnsi="宋体"/>
          <w:szCs w:val="21"/>
        </w:rPr>
        <w:t>对监理人的授权范围：</w:t>
      </w:r>
      <w:r>
        <w:rPr>
          <w:szCs w:val="21"/>
          <w:u w:val="single"/>
        </w:rPr>
        <w:t xml:space="preserve">  进行质量、进度、投资控制，安全管理和合同管理，协调各部门之间的关系</w:t>
      </w:r>
      <w:r>
        <w:rPr>
          <w:rFonts w:hint="eastAsia"/>
          <w:szCs w:val="21"/>
          <w:u w:val="single"/>
        </w:rPr>
        <w:t xml:space="preserve">  。</w:t>
      </w:r>
    </w:p>
    <w:p>
      <w:pPr>
        <w:spacing w:line="360" w:lineRule="exact"/>
        <w:ind w:firstLine="315" w:firstLineChars="150"/>
        <w:rPr>
          <w:rFonts w:hAnsi="宋体"/>
          <w:szCs w:val="21"/>
        </w:rPr>
      </w:pPr>
      <w:r>
        <w:rPr>
          <w:rFonts w:hint="eastAsia" w:hAnsi="宋体"/>
          <w:szCs w:val="21"/>
        </w:rPr>
        <w:t>监理服务期间，委托人认为监理人到现场的监理人员不足以满足现场监理需要或认为监理人员不称职时，可向监理人发出要求增加或更换监理人员的通知，监理人在收到通知后的7天内应增加或更换相应的监理人员。由此产生的费用委托人不予增加。</w:t>
      </w:r>
    </w:p>
    <w:p>
      <w:pPr>
        <w:pStyle w:val="10"/>
      </w:pPr>
    </w:p>
    <w:p>
      <w:pPr>
        <w:adjustRightInd w:val="0"/>
        <w:snapToGrid w:val="0"/>
        <w:spacing w:line="360" w:lineRule="auto"/>
        <w:ind w:firstLine="315" w:firstLineChars="150"/>
        <w:rPr>
          <w:szCs w:val="21"/>
        </w:rPr>
      </w:pPr>
      <w:r>
        <w:rPr>
          <w:kern w:val="0"/>
          <w:szCs w:val="21"/>
        </w:rPr>
        <w:t>2.4.</w:t>
      </w:r>
      <w:r>
        <w:rPr>
          <w:rFonts w:hint="eastAsia"/>
          <w:kern w:val="0"/>
          <w:szCs w:val="21"/>
        </w:rPr>
        <w:t>2</w:t>
      </w:r>
      <w:r>
        <w:rPr>
          <w:kern w:val="0"/>
          <w:szCs w:val="21"/>
        </w:rPr>
        <w:t xml:space="preserve"> </w:t>
      </w:r>
      <w:r>
        <w:rPr>
          <w:rFonts w:hAnsi="宋体"/>
          <w:kern w:val="0"/>
          <w:szCs w:val="21"/>
        </w:rPr>
        <w:t>监理人有权要求承包人调换其人员</w:t>
      </w:r>
      <w:r>
        <w:rPr>
          <w:rFonts w:hAnsi="宋体"/>
          <w:szCs w:val="21"/>
        </w:rPr>
        <w:t>的限制条件：</w:t>
      </w:r>
      <w:r>
        <w:rPr>
          <w:szCs w:val="21"/>
          <w:u w:val="single"/>
        </w:rPr>
        <w:t xml:space="preserve">  </w:t>
      </w:r>
      <w:r>
        <w:rPr>
          <w:rFonts w:hint="eastAsia" w:hAnsi="宋体"/>
          <w:kern w:val="0"/>
          <w:szCs w:val="21"/>
          <w:u w:val="single"/>
        </w:rPr>
        <w:t>如监理人需要调换施工现场监理人员时，须经委托人与监理人双方协商，报委托人同意后生效</w:t>
      </w:r>
      <w:r>
        <w:rPr>
          <w:szCs w:val="21"/>
          <w:u w:val="single"/>
        </w:rPr>
        <w:t xml:space="preserve">   </w:t>
      </w:r>
      <w:r>
        <w:rPr>
          <w:rFonts w:hAnsi="宋体"/>
          <w:szCs w:val="21"/>
        </w:rPr>
        <w:t>。</w:t>
      </w:r>
    </w:p>
    <w:p>
      <w:pPr>
        <w:spacing w:line="360" w:lineRule="auto"/>
        <w:outlineLvl w:val="0"/>
      </w:pPr>
      <w:bookmarkStart w:id="64" w:name="_Toc459567815"/>
      <w:bookmarkStart w:id="65" w:name="_Toc488850375"/>
      <w:bookmarkStart w:id="66" w:name="_Toc20323416"/>
      <w:bookmarkStart w:id="67" w:name="_Toc473030508"/>
      <w:r>
        <w:t>2.5 提交报告</w:t>
      </w:r>
      <w:bookmarkEnd w:id="64"/>
      <w:bookmarkEnd w:id="65"/>
      <w:bookmarkEnd w:id="66"/>
      <w:bookmarkEnd w:id="67"/>
    </w:p>
    <w:p>
      <w:pPr>
        <w:adjustRightInd w:val="0"/>
        <w:snapToGrid w:val="0"/>
        <w:spacing w:line="360" w:lineRule="auto"/>
        <w:ind w:firstLine="420" w:firstLineChars="200"/>
        <w:rPr>
          <w:szCs w:val="21"/>
          <w:u w:val="single"/>
        </w:rPr>
      </w:pPr>
      <w:r>
        <w:rPr>
          <w:rFonts w:hAnsi="宋体"/>
          <w:szCs w:val="21"/>
        </w:rPr>
        <w:t>监理人应提交报告的种类</w:t>
      </w:r>
      <w:r>
        <w:rPr>
          <w:szCs w:val="21"/>
        </w:rPr>
        <w:t>（</w:t>
      </w:r>
      <w:r>
        <w:rPr>
          <w:rFonts w:hAnsi="宋体"/>
          <w:kern w:val="0"/>
          <w:szCs w:val="21"/>
        </w:rPr>
        <w:t>包括监理规划、监理月报及约定的专项报告</w:t>
      </w:r>
      <w:r>
        <w:rPr>
          <w:kern w:val="0"/>
          <w:szCs w:val="21"/>
        </w:rPr>
        <w:t>）</w:t>
      </w:r>
      <w:r>
        <w:rPr>
          <w:rFonts w:hAnsi="宋体"/>
          <w:szCs w:val="21"/>
        </w:rPr>
        <w:t>、时间和份数</w:t>
      </w:r>
      <w:r>
        <w:rPr>
          <w:rFonts w:hAnsi="宋体"/>
          <w:kern w:val="0"/>
          <w:szCs w:val="21"/>
        </w:rPr>
        <w:t>：</w:t>
      </w:r>
      <w:r>
        <w:rPr>
          <w:szCs w:val="21"/>
          <w:u w:val="single"/>
        </w:rPr>
        <w:t xml:space="preserve">          </w:t>
      </w:r>
    </w:p>
    <w:p>
      <w:pPr>
        <w:adjustRightInd w:val="0"/>
        <w:snapToGrid w:val="0"/>
        <w:spacing w:line="360" w:lineRule="auto"/>
        <w:rPr>
          <w:szCs w:val="21"/>
          <w:u w:val="single"/>
        </w:rPr>
      </w:pPr>
      <w:r>
        <w:rPr>
          <w:szCs w:val="21"/>
          <w:u w:val="single"/>
        </w:rPr>
        <w:t xml:space="preserve">  </w:t>
      </w:r>
      <w:r>
        <w:rPr>
          <w:rFonts w:hint="eastAsia" w:ascii="宋体" w:hAnsi="宋体"/>
          <w:kern w:val="0"/>
          <w:szCs w:val="21"/>
          <w:u w:val="single"/>
        </w:rPr>
        <w:t>1、监理月报（每月提供两份）；2、监理规划（每月提供一份）；3、专项报告（每月一份）</w:t>
      </w:r>
      <w:r>
        <w:rPr>
          <w:szCs w:val="21"/>
          <w:u w:val="single"/>
        </w:rPr>
        <w:t xml:space="preserve">  </w:t>
      </w:r>
      <w:r>
        <w:rPr>
          <w:rFonts w:hAnsi="宋体"/>
          <w:szCs w:val="21"/>
        </w:rPr>
        <w:t>。</w:t>
      </w:r>
    </w:p>
    <w:p>
      <w:pPr>
        <w:spacing w:line="360" w:lineRule="auto"/>
        <w:outlineLvl w:val="0"/>
      </w:pPr>
      <w:bookmarkStart w:id="68" w:name="_Toc459567816"/>
      <w:bookmarkStart w:id="69" w:name="_Toc20323417"/>
      <w:bookmarkStart w:id="70" w:name="_Toc488850376"/>
      <w:bookmarkStart w:id="71" w:name="_Toc473030509"/>
      <w:r>
        <w:t>2.</w:t>
      </w:r>
      <w:r>
        <w:rPr>
          <w:rFonts w:hint="eastAsia"/>
        </w:rPr>
        <w:t>6</w:t>
      </w:r>
      <w:r>
        <w:t xml:space="preserve"> 使用委托人的财产</w:t>
      </w:r>
      <w:bookmarkEnd w:id="68"/>
      <w:bookmarkEnd w:id="69"/>
      <w:bookmarkEnd w:id="70"/>
      <w:bookmarkEnd w:id="71"/>
    </w:p>
    <w:p>
      <w:pPr>
        <w:spacing w:line="360" w:lineRule="auto"/>
        <w:rPr>
          <w:kern w:val="0"/>
          <w:szCs w:val="21"/>
        </w:rPr>
      </w:pPr>
      <w:r>
        <w:rPr>
          <w:kern w:val="0"/>
          <w:szCs w:val="21"/>
        </w:rPr>
        <w:t xml:space="preserve">    </w:t>
      </w:r>
      <w:r>
        <w:rPr>
          <w:rFonts w:hAnsi="宋体"/>
          <w:szCs w:val="21"/>
        </w:rPr>
        <w:t>附录</w:t>
      </w:r>
      <w:r>
        <w:rPr>
          <w:szCs w:val="21"/>
        </w:rPr>
        <w:t>B</w:t>
      </w:r>
      <w:r>
        <w:rPr>
          <w:rFonts w:hAnsi="宋体"/>
          <w:szCs w:val="21"/>
        </w:rPr>
        <w:t>中由委托人无偿提供的房屋、设备的所有权属于：</w:t>
      </w:r>
      <w:r>
        <w:rPr>
          <w:szCs w:val="21"/>
          <w:u w:val="single"/>
        </w:rPr>
        <w:t xml:space="preserve">         </w:t>
      </w:r>
      <w:r>
        <w:rPr>
          <w:rFonts w:hint="eastAsia"/>
          <w:szCs w:val="21"/>
          <w:u w:val="single"/>
        </w:rPr>
        <w:t>委托人</w:t>
      </w:r>
      <w:r>
        <w:rPr>
          <w:szCs w:val="21"/>
          <w:u w:val="single"/>
        </w:rPr>
        <w:t xml:space="preserve">         </w:t>
      </w:r>
      <w:r>
        <w:rPr>
          <w:rFonts w:hAnsi="宋体"/>
          <w:szCs w:val="21"/>
        </w:rPr>
        <w:t>。</w:t>
      </w:r>
    </w:p>
    <w:p>
      <w:pPr>
        <w:spacing w:line="360" w:lineRule="auto"/>
        <w:ind w:firstLine="420" w:firstLineChars="200"/>
        <w:rPr>
          <w:kern w:val="0"/>
          <w:szCs w:val="21"/>
        </w:rPr>
      </w:pPr>
      <w:r>
        <w:rPr>
          <w:rFonts w:hAnsi="宋体"/>
          <w:szCs w:val="21"/>
        </w:rPr>
        <w:t>监理人应在本合同终止后</w:t>
      </w:r>
      <w:r>
        <w:rPr>
          <w:szCs w:val="21"/>
          <w:u w:val="single"/>
        </w:rPr>
        <w:t xml:space="preserve">  </w:t>
      </w:r>
      <w:r>
        <w:rPr>
          <w:rFonts w:hint="eastAsia"/>
          <w:szCs w:val="21"/>
          <w:u w:val="single"/>
        </w:rPr>
        <w:t>7</w:t>
      </w:r>
      <w:r>
        <w:rPr>
          <w:szCs w:val="21"/>
          <w:u w:val="single"/>
        </w:rPr>
        <w:t xml:space="preserve">   </w:t>
      </w:r>
      <w:r>
        <w:rPr>
          <w:rFonts w:hAnsi="宋体"/>
          <w:szCs w:val="21"/>
        </w:rPr>
        <w:t>天内移交委托人无偿提供的房屋、设备，移交的时间和方式为：</w:t>
      </w:r>
      <w:r>
        <w:rPr>
          <w:szCs w:val="21"/>
          <w:u w:val="single"/>
        </w:rPr>
        <w:t xml:space="preserve">  </w:t>
      </w:r>
      <w:r>
        <w:rPr>
          <w:rFonts w:hint="eastAsia" w:ascii="宋体" w:hAnsi="宋体"/>
          <w:kern w:val="0"/>
          <w:szCs w:val="21"/>
          <w:u w:val="single"/>
        </w:rPr>
        <w:t>双方合同届满后，双方代表</w:t>
      </w:r>
      <w:r>
        <w:rPr>
          <w:rFonts w:hint="eastAsia"/>
          <w:szCs w:val="21"/>
          <w:u w:val="single"/>
        </w:rPr>
        <w:t>现场移交</w:t>
      </w:r>
      <w:r>
        <w:rPr>
          <w:szCs w:val="21"/>
          <w:u w:val="single"/>
        </w:rPr>
        <w:t xml:space="preserve">   </w:t>
      </w:r>
      <w:r>
        <w:rPr>
          <w:rFonts w:hAnsi="宋体"/>
          <w:szCs w:val="21"/>
        </w:rPr>
        <w:t>。</w:t>
      </w:r>
    </w:p>
    <w:p>
      <w:pPr>
        <w:pStyle w:val="4"/>
      </w:pPr>
      <w:bookmarkStart w:id="72" w:name="_Toc459567817"/>
      <w:bookmarkStart w:id="73" w:name="_Toc20323418"/>
      <w:r>
        <w:t>3. 委托人义务</w:t>
      </w:r>
      <w:bookmarkEnd w:id="72"/>
      <w:bookmarkEnd w:id="73"/>
    </w:p>
    <w:p>
      <w:pPr>
        <w:snapToGrid w:val="0"/>
        <w:spacing w:line="360" w:lineRule="auto"/>
        <w:rPr>
          <w:szCs w:val="21"/>
        </w:rPr>
      </w:pPr>
      <w:r>
        <w:rPr>
          <w:kern w:val="0"/>
          <w:szCs w:val="21"/>
        </w:rPr>
        <w:t>3.</w:t>
      </w:r>
      <w:r>
        <w:rPr>
          <w:rFonts w:hint="eastAsia"/>
          <w:kern w:val="0"/>
          <w:szCs w:val="21"/>
        </w:rPr>
        <w:t>1</w:t>
      </w:r>
      <w:r>
        <w:rPr>
          <w:kern w:val="0"/>
          <w:szCs w:val="21"/>
        </w:rPr>
        <w:t xml:space="preserve"> </w:t>
      </w:r>
      <w:r>
        <w:rPr>
          <w:rFonts w:hAnsi="宋体"/>
          <w:kern w:val="0"/>
          <w:szCs w:val="21"/>
        </w:rPr>
        <w:t>委托人代表</w:t>
      </w:r>
    </w:p>
    <w:p>
      <w:pPr>
        <w:adjustRightInd w:val="0"/>
        <w:snapToGrid w:val="0"/>
        <w:spacing w:line="360" w:lineRule="auto"/>
        <w:ind w:firstLine="420" w:firstLineChars="200"/>
        <w:rPr>
          <w:szCs w:val="21"/>
          <w:u w:val="single"/>
        </w:rPr>
      </w:pPr>
      <w:r>
        <w:rPr>
          <w:rFonts w:hAnsi="宋体"/>
          <w:szCs w:val="21"/>
        </w:rPr>
        <w:t>委托人代表为：</w:t>
      </w:r>
      <w:r>
        <w:rPr>
          <w:szCs w:val="21"/>
          <w:u w:val="single"/>
        </w:rPr>
        <w:t xml:space="preserve">            </w:t>
      </w:r>
      <w:r>
        <w:rPr>
          <w:rFonts w:hint="eastAsia"/>
          <w:szCs w:val="21"/>
          <w:u w:val="single"/>
        </w:rPr>
        <w:t>中标后填写</w:t>
      </w:r>
      <w:r>
        <w:rPr>
          <w:szCs w:val="21"/>
          <w:u w:val="single"/>
        </w:rPr>
        <w:t xml:space="preserve">       </w:t>
      </w:r>
      <w:r>
        <w:rPr>
          <w:rFonts w:hAnsi="宋体"/>
          <w:szCs w:val="21"/>
        </w:rPr>
        <w:t>。</w:t>
      </w:r>
    </w:p>
    <w:p>
      <w:pPr>
        <w:adjustRightInd w:val="0"/>
        <w:snapToGrid w:val="0"/>
        <w:spacing w:line="360" w:lineRule="auto"/>
        <w:rPr>
          <w:kern w:val="0"/>
          <w:szCs w:val="21"/>
        </w:rPr>
      </w:pPr>
      <w:r>
        <w:rPr>
          <w:kern w:val="0"/>
          <w:szCs w:val="21"/>
        </w:rPr>
        <w:t>3.</w:t>
      </w:r>
      <w:r>
        <w:rPr>
          <w:rFonts w:hint="eastAsia"/>
          <w:kern w:val="0"/>
          <w:szCs w:val="21"/>
        </w:rPr>
        <w:t>2</w:t>
      </w:r>
      <w:r>
        <w:rPr>
          <w:kern w:val="0"/>
          <w:szCs w:val="21"/>
        </w:rPr>
        <w:t xml:space="preserve"> </w:t>
      </w:r>
      <w:r>
        <w:rPr>
          <w:rFonts w:hAnsi="宋体"/>
          <w:kern w:val="0"/>
          <w:szCs w:val="21"/>
        </w:rPr>
        <w:t>答复</w:t>
      </w:r>
    </w:p>
    <w:p>
      <w:pPr>
        <w:adjustRightInd w:val="0"/>
        <w:snapToGrid w:val="0"/>
        <w:spacing w:line="360" w:lineRule="auto"/>
        <w:ind w:firstLine="420" w:firstLineChars="200"/>
        <w:rPr>
          <w:szCs w:val="21"/>
        </w:rPr>
      </w:pPr>
      <w:r>
        <w:rPr>
          <w:rFonts w:hAnsi="宋体"/>
          <w:szCs w:val="21"/>
        </w:rPr>
        <w:t>委托人同意在</w:t>
      </w:r>
      <w:r>
        <w:rPr>
          <w:szCs w:val="21"/>
          <w:u w:val="single"/>
        </w:rPr>
        <w:t xml:space="preserve">    </w:t>
      </w:r>
      <w:r>
        <w:rPr>
          <w:rFonts w:hint="eastAsia"/>
          <w:szCs w:val="21"/>
          <w:u w:val="single"/>
        </w:rPr>
        <w:t>7</w:t>
      </w:r>
      <w:r>
        <w:rPr>
          <w:szCs w:val="21"/>
          <w:u w:val="single"/>
        </w:rPr>
        <w:t xml:space="preserve">    </w:t>
      </w:r>
      <w:r>
        <w:rPr>
          <w:rFonts w:hAnsi="宋体"/>
          <w:szCs w:val="21"/>
        </w:rPr>
        <w:t>天内，对监理人书面提交并要求做出决定的事宜给予书面答复。</w:t>
      </w:r>
    </w:p>
    <w:p>
      <w:pPr>
        <w:pStyle w:val="4"/>
      </w:pPr>
      <w:bookmarkStart w:id="74" w:name="_Toc20323419"/>
      <w:bookmarkStart w:id="75" w:name="_Toc459567818"/>
      <w:r>
        <w:t xml:space="preserve">4. </w:t>
      </w:r>
      <w:r>
        <w:rPr>
          <w:rFonts w:hAnsi="宋体"/>
        </w:rPr>
        <w:t>违约责任</w:t>
      </w:r>
      <w:bookmarkEnd w:id="74"/>
      <w:bookmarkEnd w:id="75"/>
    </w:p>
    <w:p>
      <w:pPr>
        <w:spacing w:line="360" w:lineRule="auto"/>
        <w:rPr>
          <w:rFonts w:hAnsi="宋体"/>
          <w:kern w:val="0"/>
          <w:szCs w:val="21"/>
        </w:rPr>
      </w:pPr>
      <w:r>
        <w:rPr>
          <w:kern w:val="0"/>
          <w:szCs w:val="21"/>
        </w:rPr>
        <w:t xml:space="preserve">4.1 </w:t>
      </w:r>
      <w:r>
        <w:rPr>
          <w:rFonts w:hAnsi="宋体"/>
          <w:kern w:val="0"/>
          <w:szCs w:val="21"/>
        </w:rPr>
        <w:t>监理人的违约责任</w:t>
      </w:r>
    </w:p>
    <w:p>
      <w:pPr>
        <w:spacing w:line="360" w:lineRule="exact"/>
        <w:ind w:firstLine="315" w:firstLineChars="150"/>
        <w:rPr>
          <w:rFonts w:hAnsi="宋体"/>
          <w:szCs w:val="21"/>
        </w:rPr>
      </w:pPr>
      <w:r>
        <w:rPr>
          <w:rFonts w:hint="eastAsia" w:hAnsi="宋体"/>
          <w:szCs w:val="21"/>
        </w:rPr>
        <w:t>4.1.1监理人应在监理合同生效后</w:t>
      </w:r>
      <w:r>
        <w:rPr>
          <w:rFonts w:hAnsi="宋体"/>
          <w:szCs w:val="21"/>
          <w:u w:val="single"/>
        </w:rPr>
        <w:t xml:space="preserve"> 3 </w:t>
      </w:r>
      <w:r>
        <w:rPr>
          <w:rFonts w:hint="eastAsia" w:hAnsi="宋体"/>
          <w:szCs w:val="21"/>
        </w:rPr>
        <w:t>天内，向委托人提交监理规划，监理机构以及委派的总监理工程师和监理人员的名单、监理注册或岗位证书、职称证书、学历证书、简历。监理实施细则在监理人收到施工图纸后</w:t>
      </w:r>
      <w:r>
        <w:rPr>
          <w:rFonts w:hAnsi="宋体"/>
          <w:szCs w:val="21"/>
        </w:rPr>
        <w:t xml:space="preserve"> 5 </w:t>
      </w:r>
      <w:r>
        <w:rPr>
          <w:rFonts w:hint="eastAsia" w:hAnsi="宋体"/>
          <w:szCs w:val="21"/>
        </w:rPr>
        <w:t>天内向委托人提交。委派的总监理工程师和监理人员必须与投标时承诺的人员一致（增加不限，但不增加监理报酬），不经委托人同意，擅自更换投标时承诺的总监理工程师和监理人员的，委托人有权取消其中标资格。所提交的监理规划、监理实施细则各</w:t>
      </w:r>
      <w:r>
        <w:rPr>
          <w:rFonts w:hAnsi="宋体"/>
          <w:szCs w:val="21"/>
          <w:u w:val="single"/>
        </w:rPr>
        <w:t xml:space="preserve"> 8 </w:t>
      </w:r>
      <w:r>
        <w:rPr>
          <w:rFonts w:hint="eastAsia" w:hAnsi="宋体"/>
          <w:szCs w:val="21"/>
        </w:rPr>
        <w:t>份。</w:t>
      </w:r>
      <w:r>
        <w:rPr>
          <w:rFonts w:hAnsi="宋体"/>
          <w:szCs w:val="21"/>
        </w:rPr>
        <w:t xml:space="preserve"> </w:t>
      </w:r>
    </w:p>
    <w:p>
      <w:pPr>
        <w:spacing w:line="360" w:lineRule="exact"/>
        <w:ind w:firstLine="315" w:firstLineChars="150"/>
        <w:rPr>
          <w:rFonts w:hAnsi="宋体"/>
          <w:szCs w:val="21"/>
        </w:rPr>
      </w:pPr>
      <w:r>
        <w:rPr>
          <w:rFonts w:hint="eastAsia" w:hAnsi="宋体"/>
          <w:szCs w:val="21"/>
        </w:rPr>
        <w:t>4.1.2监理服务期（尤其是施工阶段）内，监理人应认真执行监理人员进场计划，并保持相</w:t>
      </w:r>
      <w:r>
        <w:rPr>
          <w:rFonts w:hAnsi="宋体"/>
          <w:szCs w:val="21"/>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10696575</wp:posOffset>
                </wp:positionV>
                <wp:extent cx="12700" cy="12700"/>
                <wp:effectExtent l="6350" t="6350" r="19050" b="9525"/>
                <wp:wrapNone/>
                <wp:docPr id="2" name="文本框 25"/>
                <wp:cNvGraphicFramePr/>
                <a:graphic xmlns:a="http://schemas.openxmlformats.org/drawingml/2006/main">
                  <a:graphicData uri="http://schemas.microsoft.com/office/word/2010/wordprocessingShape">
                    <wps:wsp>
                      <wps:cNvSpPr txBox="1"/>
                      <wps:spPr>
                        <a:xfrm>
                          <a:off x="0" y="0"/>
                          <a:ext cx="12700" cy="12700"/>
                        </a:xfrm>
                        <a:prstGeom prst="rect">
                          <a:avLst/>
                        </a:prstGeom>
                        <a:solidFill>
                          <a:srgbClr val="FFFF4C">
                            <a:alpha val="70000"/>
                          </a:srgbClr>
                        </a:solidFill>
                        <a:ln w="12700" cap="flat" cmpd="sng">
                          <a:solidFill>
                            <a:srgbClr val="000000"/>
                          </a:solidFill>
                          <a:prstDash val="solid"/>
                          <a:miter/>
                          <a:headEnd type="none" w="med" len="med"/>
                          <a:tailEnd type="none" w="med" len="med"/>
                        </a:ln>
                      </wps:spPr>
                      <wps:txbx>
                        <w:txbxContent>
                          <w:p>
                            <w:pPr>
                              <w:pStyle w:val="5"/>
                              <w:kinsoku w:val="0"/>
                              <w:overflowPunct w:val="0"/>
                              <w:spacing w:before="92"/>
                              <w:ind w:left="40" w:right="38"/>
                              <w:rPr>
                                <w:rFonts w:ascii="Arial" w:hAnsi="Arial" w:cs="Arial"/>
                                <w:sz w:val="20"/>
                                <w:szCs w:val="20"/>
                              </w:rPr>
                            </w:pPr>
                            <w:r>
                              <w:rPr>
                                <w:rFonts w:ascii="Arial" w:hAnsi="Arial" w:cs="Arial"/>
                                <w:sz w:val="20"/>
                                <w:szCs w:val="20"/>
                              </w:rPr>
                              <w:t>--------------------------------------------</w:t>
                            </w:r>
                          </w:p>
                          <w:p>
                            <w:pPr>
                              <w:pStyle w:val="5"/>
                              <w:kinsoku w:val="0"/>
                              <w:overflowPunct w:val="0"/>
                              <w:spacing w:line="330" w:lineRule="exact"/>
                              <w:ind w:left="40" w:right="38"/>
                              <w:rPr>
                                <w:rFonts w:ascii="Arial" w:hAnsi="Arial" w:cs="Arial"/>
                                <w:i/>
                                <w:iCs/>
                                <w:sz w:val="16"/>
                                <w:szCs w:val="16"/>
                              </w:rPr>
                            </w:pPr>
                            <w:r>
                              <w:rPr>
                                <w:rFonts w:ascii="Arial" w:hAnsi="Arial" w:cs="Arial"/>
                                <w:i/>
                                <w:iCs/>
                                <w:sz w:val="16"/>
                                <w:szCs w:val="16"/>
                              </w:rPr>
                              <w:t xml:space="preserve"> </w:t>
                            </w:r>
                          </w:p>
                        </w:txbxContent>
                      </wps:txbx>
                      <wps:bodyPr lIns="0" tIns="0" rIns="0" bIns="0" upright="1"/>
                    </wps:wsp>
                  </a:graphicData>
                </a:graphic>
              </wp:anchor>
            </w:drawing>
          </mc:Choice>
          <mc:Fallback>
            <w:pict>
              <v:shape id="文本框 25" o:spid="_x0000_s1026" o:spt="202" type="#_x0000_t202" style="position:absolute;left:0pt;margin-left:0pt;margin-top:842.25pt;height:1pt;width:1pt;mso-position-horizontal-relative:page;mso-position-vertical-relative:page;z-index:251660288;mso-width-relative:page;mso-height-relative:page;" fillcolor="#FFFF4C" filled="t" stroked="t" coordsize="21600,21600" o:allowincell="f" o:gfxdata="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5q4p0QAAAAgB&#10;AAAPAAAAAAAAAAEAIAAAACIAAABkcnMvZG93bnJldi54bWxQSwECFAAUAAAACACHTuJAidF0MiIC&#10;AAB6BAAADgAAAAAAAAABACAAAAAgAQAAZHJzL2Uyb0RvYy54bWxQSwUGAAAAAAYABgBZAQAAtAUA&#10;AAAA&#10;">
                <v:fill on="t" opacity="45875f" focussize="0,0"/>
                <v:stroke weight="1pt" color="#000000" joinstyle="miter"/>
                <v:imagedata o:title=""/>
                <o:lock v:ext="edit" aspectratio="f"/>
                <v:textbox inset="0mm,0mm,0mm,0mm">
                  <w:txbxContent>
                    <w:p>
                      <w:pPr>
                        <w:pStyle w:val="5"/>
                        <w:kinsoku w:val="0"/>
                        <w:overflowPunct w:val="0"/>
                        <w:spacing w:before="92"/>
                        <w:ind w:left="40" w:right="38"/>
                        <w:rPr>
                          <w:rFonts w:ascii="Arial" w:hAnsi="Arial" w:cs="Arial"/>
                          <w:sz w:val="20"/>
                          <w:szCs w:val="20"/>
                        </w:rPr>
                      </w:pPr>
                      <w:r>
                        <w:rPr>
                          <w:rFonts w:ascii="Arial" w:hAnsi="Arial" w:cs="Arial"/>
                          <w:sz w:val="20"/>
                          <w:szCs w:val="20"/>
                        </w:rPr>
                        <w:t>--------------------------------------------</w:t>
                      </w:r>
                    </w:p>
                    <w:p>
                      <w:pPr>
                        <w:pStyle w:val="5"/>
                        <w:kinsoku w:val="0"/>
                        <w:overflowPunct w:val="0"/>
                        <w:spacing w:line="330" w:lineRule="exact"/>
                        <w:ind w:left="40" w:right="38"/>
                        <w:rPr>
                          <w:rFonts w:ascii="Arial" w:hAnsi="Arial" w:cs="Arial"/>
                          <w:i/>
                          <w:iCs/>
                          <w:sz w:val="16"/>
                          <w:szCs w:val="16"/>
                        </w:rPr>
                      </w:pPr>
                      <w:r>
                        <w:rPr>
                          <w:rFonts w:ascii="Arial" w:hAnsi="Arial" w:cs="Arial"/>
                          <w:i/>
                          <w:iCs/>
                          <w:sz w:val="16"/>
                          <w:szCs w:val="16"/>
                        </w:rPr>
                        <w:t xml:space="preserve"> </w:t>
                      </w:r>
                    </w:p>
                  </w:txbxContent>
                </v:textbox>
              </v:shape>
            </w:pict>
          </mc:Fallback>
        </mc:AlternateContent>
      </w:r>
      <w:r>
        <w:rPr>
          <w:rFonts w:hint="eastAsia" w:hAnsi="宋体"/>
          <w:szCs w:val="21"/>
        </w:rPr>
        <w:t>对稳定。</w:t>
      </w:r>
      <w:r>
        <w:rPr>
          <w:rFonts w:hAnsi="宋体"/>
          <w:szCs w:val="21"/>
        </w:rPr>
        <w:t xml:space="preserve"> </w:t>
      </w:r>
    </w:p>
    <w:p>
      <w:pPr>
        <w:spacing w:line="360" w:lineRule="exact"/>
        <w:ind w:firstLine="315" w:firstLineChars="150"/>
        <w:rPr>
          <w:rFonts w:hAnsi="宋体"/>
          <w:szCs w:val="21"/>
        </w:rPr>
      </w:pPr>
      <w:r>
        <w:rPr>
          <w:rFonts w:hint="eastAsia" w:hAnsi="宋体"/>
          <w:szCs w:val="21"/>
        </w:rPr>
        <w:t>施工现场到位的监理人员与投标文件承诺的监理人员不一致时，将视为投标人中标后违约，</w:t>
      </w:r>
      <w:r>
        <w:rPr>
          <w:rFonts w:hAnsi="宋体"/>
          <w:szCs w:val="21"/>
        </w:rPr>
        <w:t xml:space="preserve"> </w:t>
      </w:r>
      <w:r>
        <w:rPr>
          <w:rFonts w:hint="eastAsia" w:hAnsi="宋体"/>
          <w:szCs w:val="21"/>
        </w:rPr>
        <w:t>情节严重时，将终止合同。</w:t>
      </w:r>
      <w:r>
        <w:rPr>
          <w:rFonts w:hAnsi="宋体"/>
          <w:szCs w:val="21"/>
        </w:rPr>
        <w:t xml:space="preserve"> </w:t>
      </w:r>
    </w:p>
    <w:p>
      <w:pPr>
        <w:spacing w:line="360" w:lineRule="exact"/>
        <w:ind w:firstLine="315" w:firstLineChars="150"/>
        <w:rPr>
          <w:rFonts w:hAnsi="宋体"/>
          <w:szCs w:val="21"/>
        </w:rPr>
      </w:pPr>
      <w:r>
        <w:rPr>
          <w:rFonts w:hint="eastAsia" w:hAnsi="宋体"/>
          <w:szCs w:val="21"/>
        </w:rPr>
        <w:t>为了保证服务于本工程的监理人员素质和工作能力满足工程建设的需要，委托人在工程实施过程中，将不定期对监理人员（包括总监理工程师）的工作表现和监理效果进行评估、考核、评价，对违反监理人员行为规范，失职、渎职人员或委托人认为不称职、不适合监理工作的监理人员，委托人有权要求监理人撤换，监理人接到委托人的撤换通知后，在</w:t>
      </w:r>
      <w:r>
        <w:rPr>
          <w:rFonts w:hAnsi="宋体"/>
          <w:szCs w:val="21"/>
        </w:rPr>
        <w:t xml:space="preserve"> 7 </w:t>
      </w:r>
      <w:r>
        <w:rPr>
          <w:rFonts w:hint="eastAsia" w:hAnsi="宋体"/>
          <w:szCs w:val="21"/>
        </w:rPr>
        <w:t>日内要完成人员调整，否则视为违约。</w:t>
      </w:r>
      <w:r>
        <w:rPr>
          <w:rFonts w:hAnsi="宋体"/>
          <w:szCs w:val="21"/>
        </w:rPr>
        <w:t xml:space="preserve"> </w:t>
      </w:r>
    </w:p>
    <w:p>
      <w:pPr>
        <w:spacing w:line="360" w:lineRule="exact"/>
        <w:ind w:firstLine="315" w:firstLineChars="150"/>
        <w:rPr>
          <w:rFonts w:hAnsi="宋体"/>
          <w:szCs w:val="21"/>
        </w:rPr>
      </w:pPr>
      <w:r>
        <w:rPr>
          <w:rFonts w:hint="eastAsia" w:hAnsi="宋体"/>
          <w:szCs w:val="21"/>
        </w:rPr>
        <w:t>监理人调换总监理工程师、专业工程师必须提前</w:t>
      </w:r>
      <w:r>
        <w:rPr>
          <w:rFonts w:hAnsi="宋体"/>
          <w:szCs w:val="21"/>
        </w:rPr>
        <w:t xml:space="preserve"> 7 </w:t>
      </w:r>
      <w:r>
        <w:rPr>
          <w:rFonts w:hint="eastAsia" w:hAnsi="宋体"/>
          <w:szCs w:val="21"/>
        </w:rPr>
        <w:t>天报委托人同意批准；如不经委托人同意批准擅自调换总监理工程师，监理人必须向委托人支付违约金人民币伍万元整；擅自调换专业工程师则按每人支付违约金叁万元处理。</w:t>
      </w:r>
      <w:r>
        <w:rPr>
          <w:rFonts w:hAnsi="宋体"/>
          <w:szCs w:val="21"/>
        </w:rPr>
        <w:t xml:space="preserve"> </w:t>
      </w:r>
    </w:p>
    <w:p>
      <w:pPr>
        <w:spacing w:line="360" w:lineRule="exact"/>
        <w:ind w:firstLine="315" w:firstLineChars="150"/>
        <w:rPr>
          <w:rFonts w:hAnsi="宋体"/>
          <w:szCs w:val="21"/>
        </w:rPr>
      </w:pPr>
      <w:r>
        <w:rPr>
          <w:rFonts w:hint="eastAsia" w:hAnsi="宋体"/>
          <w:szCs w:val="21"/>
        </w:rPr>
        <w:t>委托人有权检查监理人的监理工程师、专业工程师的到岗情况，如发现未经委托人同意批准，监理工程师擅自离岗的，监理人必须向委托人支付违约金</w:t>
      </w:r>
      <w:r>
        <w:rPr>
          <w:rFonts w:hAnsi="宋体"/>
          <w:szCs w:val="21"/>
        </w:rPr>
        <w:t xml:space="preserve"> 3000 </w:t>
      </w:r>
      <w:r>
        <w:rPr>
          <w:rFonts w:hint="eastAsia" w:hAnsi="宋体"/>
          <w:szCs w:val="21"/>
        </w:rPr>
        <w:t>元</w:t>
      </w:r>
      <w:r>
        <w:rPr>
          <w:rFonts w:hAnsi="宋体"/>
          <w:szCs w:val="21"/>
        </w:rPr>
        <w:t>/</w:t>
      </w:r>
      <w:r>
        <w:rPr>
          <w:rFonts w:hint="eastAsia" w:hAnsi="宋体"/>
          <w:szCs w:val="21"/>
        </w:rPr>
        <w:t>人·次，未经委托人同意批准专业工程师擅自离岗的则监理人必须向委托人支付违约金</w:t>
      </w:r>
      <w:r>
        <w:rPr>
          <w:rFonts w:hAnsi="宋体"/>
          <w:szCs w:val="21"/>
        </w:rPr>
        <w:t xml:space="preserve"> 3000 </w:t>
      </w:r>
      <w:r>
        <w:rPr>
          <w:rFonts w:hint="eastAsia" w:hAnsi="宋体"/>
          <w:szCs w:val="21"/>
        </w:rPr>
        <w:t>元</w:t>
      </w:r>
      <w:r>
        <w:rPr>
          <w:rFonts w:hAnsi="宋体"/>
          <w:szCs w:val="21"/>
        </w:rPr>
        <w:t>/</w:t>
      </w:r>
      <w:r>
        <w:rPr>
          <w:rFonts w:hint="eastAsia" w:hAnsi="宋体"/>
          <w:szCs w:val="21"/>
        </w:rPr>
        <w:t>人·次。本工程监理人员不得兼职其它工程。</w:t>
      </w:r>
      <w:r>
        <w:rPr>
          <w:rFonts w:hAnsi="宋体"/>
          <w:szCs w:val="21"/>
        </w:rPr>
        <w:t xml:space="preserve"> </w:t>
      </w:r>
    </w:p>
    <w:p>
      <w:pPr>
        <w:spacing w:line="360" w:lineRule="exact"/>
        <w:ind w:firstLine="315" w:firstLineChars="150"/>
        <w:rPr>
          <w:rFonts w:hAnsi="宋体"/>
          <w:szCs w:val="21"/>
        </w:rPr>
      </w:pPr>
      <w:r>
        <w:rPr>
          <w:rFonts w:hint="eastAsia" w:hAnsi="宋体"/>
          <w:szCs w:val="21"/>
        </w:rPr>
        <w:t>4.1.3未经委托人批准，服务期内自行调走监理人的主要仪器、设备，经发现不及时调回的，</w:t>
      </w:r>
      <w:r>
        <w:rPr>
          <w:rFonts w:hAnsi="宋体"/>
          <w:szCs w:val="21"/>
        </w:rPr>
        <w:t xml:space="preserve"> </w:t>
      </w:r>
      <w:r>
        <w:rPr>
          <w:rFonts w:hint="eastAsia" w:hAnsi="宋体"/>
          <w:szCs w:val="21"/>
        </w:rPr>
        <w:t>违约金为50000元.次（视情节严重而定）。</w:t>
      </w:r>
      <w:r>
        <w:rPr>
          <w:rFonts w:hAnsi="宋体"/>
          <w:szCs w:val="21"/>
        </w:rPr>
        <w:t xml:space="preserve"> </w:t>
      </w:r>
    </w:p>
    <w:p>
      <w:pPr>
        <w:spacing w:line="360" w:lineRule="exact"/>
        <w:ind w:firstLine="315" w:firstLineChars="150"/>
        <w:rPr>
          <w:rFonts w:hAnsi="宋体"/>
          <w:szCs w:val="21"/>
        </w:rPr>
      </w:pPr>
      <w:r>
        <w:rPr>
          <w:rFonts w:hint="eastAsia" w:hAnsi="宋体"/>
          <w:szCs w:val="21"/>
        </w:rPr>
        <w:t>4.1.4施工监理服务期由二个阶段组成：</w:t>
      </w:r>
      <w:r>
        <w:rPr>
          <w:rFonts w:hAnsi="宋体"/>
          <w:szCs w:val="21"/>
        </w:rPr>
        <w:t xml:space="preserve"> </w:t>
      </w:r>
    </w:p>
    <w:p>
      <w:pPr>
        <w:spacing w:line="360" w:lineRule="exact"/>
        <w:ind w:firstLine="315" w:firstLineChars="150"/>
        <w:rPr>
          <w:rFonts w:hAnsi="宋体"/>
          <w:szCs w:val="21"/>
        </w:rPr>
      </w:pPr>
      <w:r>
        <w:rPr>
          <w:rFonts w:hint="eastAsia" w:hAnsi="宋体"/>
          <w:szCs w:val="21"/>
        </w:rPr>
        <w:t>(1) 施工阶段服务期：以从签订委托监理合同之日起，至工程完工验收合格（工程质量为合格）之日为施工阶段服务期（包括承包人进场前施工项目期及完工资料整理、工程扫尾工作期）。</w:t>
      </w:r>
      <w:r>
        <w:rPr>
          <w:rFonts w:hAnsi="宋体"/>
          <w:szCs w:val="21"/>
        </w:rPr>
        <w:t xml:space="preserve"> </w:t>
      </w:r>
    </w:p>
    <w:p>
      <w:pPr>
        <w:spacing w:line="360" w:lineRule="exact"/>
        <w:ind w:firstLine="315" w:firstLineChars="150"/>
        <w:rPr>
          <w:rFonts w:hAnsi="宋体"/>
          <w:szCs w:val="21"/>
        </w:rPr>
      </w:pPr>
      <w:r>
        <w:rPr>
          <w:rFonts w:hint="eastAsia" w:hAnsi="宋体"/>
          <w:szCs w:val="21"/>
        </w:rPr>
        <w:t>(2) 保修责任阶段服务期：工程竣工验收合格（所监理的工程质量为合格），签发工程移交证书起至保修期满并督促施工单位将工程移交给相关管理部门为保修责任阶段服务期。</w:t>
      </w:r>
      <w:r>
        <w:rPr>
          <w:rFonts w:hAnsi="宋体"/>
          <w:szCs w:val="21"/>
        </w:rPr>
        <w:t xml:space="preserve"> </w:t>
      </w:r>
    </w:p>
    <w:p>
      <w:pPr>
        <w:spacing w:line="360" w:lineRule="exact"/>
        <w:ind w:firstLine="315" w:firstLineChars="150"/>
        <w:rPr>
          <w:rFonts w:hAnsi="宋体"/>
          <w:szCs w:val="21"/>
        </w:rPr>
      </w:pPr>
      <w:r>
        <w:rPr>
          <w:rFonts w:hint="eastAsia" w:hAnsi="宋体"/>
          <w:szCs w:val="21"/>
        </w:rPr>
        <w:t>监理服务开始日期：监理人应在签订委托监理合同之日起</w:t>
      </w:r>
      <w:r>
        <w:rPr>
          <w:rFonts w:hAnsi="宋体"/>
          <w:szCs w:val="21"/>
          <w:u w:val="single"/>
        </w:rPr>
        <w:t xml:space="preserve"> 3 </w:t>
      </w:r>
      <w:r>
        <w:rPr>
          <w:rFonts w:hint="eastAsia" w:hAnsi="宋体"/>
          <w:szCs w:val="21"/>
        </w:rPr>
        <w:t>天内，派出监理人员进驻施工</w:t>
      </w:r>
    </w:p>
    <w:p>
      <w:pPr>
        <w:spacing w:line="360" w:lineRule="exact"/>
        <w:rPr>
          <w:rFonts w:hAnsi="宋体"/>
          <w:szCs w:val="21"/>
        </w:rPr>
      </w:pPr>
      <w:r>
        <w:rPr>
          <w:rFonts w:hint="eastAsia" w:hAnsi="宋体"/>
          <w:szCs w:val="21"/>
        </w:rPr>
        <w:t>现场。</w:t>
      </w:r>
      <w:r>
        <w:rPr>
          <w:rFonts w:hAnsi="宋体"/>
          <w:szCs w:val="21"/>
        </w:rPr>
        <w:t xml:space="preserve"> </w:t>
      </w:r>
    </w:p>
    <w:p>
      <w:pPr>
        <w:spacing w:line="360" w:lineRule="exact"/>
        <w:ind w:firstLine="315" w:firstLineChars="150"/>
        <w:rPr>
          <w:rFonts w:hAnsi="宋体"/>
          <w:szCs w:val="21"/>
        </w:rPr>
      </w:pPr>
      <w:r>
        <w:rPr>
          <w:rFonts w:hint="eastAsia" w:hAnsi="宋体"/>
          <w:szCs w:val="21"/>
        </w:rPr>
        <w:t>4.1.5签订本监理合同后，由于国家计划及政策法规调整等原因，致使本工程暂无法开工，</w:t>
      </w:r>
      <w:r>
        <w:rPr>
          <w:rFonts w:hAnsi="宋体"/>
          <w:szCs w:val="21"/>
        </w:rPr>
        <w:t xml:space="preserve"> </w:t>
      </w:r>
      <w:r>
        <w:rPr>
          <w:rFonts w:hint="eastAsia" w:hAnsi="宋体"/>
          <w:szCs w:val="21"/>
        </w:rPr>
        <w:t>本监理合同在取得监理人同意的前提下继续有效，期限顺延，但委托人不给予监理人任何经济补偿；如果监理人不同意，则委托人可书面通知监理人解除合同。</w:t>
      </w:r>
      <w:r>
        <w:rPr>
          <w:rFonts w:hAnsi="宋体"/>
          <w:szCs w:val="21"/>
        </w:rPr>
        <w:t xml:space="preserve"> </w:t>
      </w:r>
    </w:p>
    <w:p>
      <w:pPr>
        <w:spacing w:line="360" w:lineRule="exact"/>
        <w:ind w:firstLine="315" w:firstLineChars="150"/>
        <w:rPr>
          <w:rFonts w:hAnsi="宋体"/>
          <w:szCs w:val="21"/>
        </w:rPr>
      </w:pPr>
      <w:r>
        <w:rPr>
          <w:rFonts w:hint="eastAsia" w:hAnsi="宋体"/>
          <w:szCs w:val="21"/>
        </w:rPr>
        <w:t>4.1.6监理人应做好质量缺陷责任期内的监理服务工作。</w:t>
      </w:r>
      <w:r>
        <w:rPr>
          <w:rFonts w:hAnsi="宋体"/>
          <w:szCs w:val="21"/>
        </w:rPr>
        <w:t xml:space="preserve"> </w:t>
      </w:r>
    </w:p>
    <w:p>
      <w:pPr>
        <w:spacing w:line="360" w:lineRule="exact"/>
        <w:ind w:firstLine="315" w:firstLineChars="150"/>
        <w:rPr>
          <w:rFonts w:hAnsi="宋体"/>
          <w:szCs w:val="21"/>
        </w:rPr>
      </w:pPr>
      <w:r>
        <w:rPr>
          <w:rFonts w:hint="eastAsia" w:hAnsi="宋体"/>
          <w:szCs w:val="21"/>
        </w:rPr>
        <w:t>4.1.7监理人在责任期内如果失职，同意按以下办法承担责任，赔偿损失；</w:t>
      </w:r>
      <w:r>
        <w:rPr>
          <w:rFonts w:hAnsi="宋体"/>
          <w:szCs w:val="21"/>
        </w:rPr>
        <w:t xml:space="preserve"> </w:t>
      </w:r>
    </w:p>
    <w:p>
      <w:pPr>
        <w:spacing w:line="360" w:lineRule="exact"/>
        <w:ind w:firstLine="315" w:firstLineChars="150"/>
        <w:rPr>
          <w:rFonts w:hAnsi="宋体"/>
          <w:szCs w:val="21"/>
        </w:rPr>
      </w:pPr>
      <w:r>
        <w:rPr>
          <w:rFonts w:hint="eastAsia" w:hAnsi="宋体"/>
          <w:szCs w:val="21"/>
        </w:rPr>
        <w:t>①因监理人原因，监理人要求终止合同，除不得接受未履行期监理费用和没收履约保证金外，</w:t>
      </w:r>
      <w:r>
        <w:rPr>
          <w:rFonts w:hAnsi="宋体"/>
          <w:szCs w:val="21"/>
        </w:rPr>
        <w:t xml:space="preserve"> </w:t>
      </w:r>
      <w:r>
        <w:rPr>
          <w:rFonts w:hint="eastAsia" w:hAnsi="宋体"/>
          <w:szCs w:val="21"/>
        </w:rPr>
        <w:t>还应按未履行期费用的</w:t>
      </w:r>
      <w:r>
        <w:rPr>
          <w:rFonts w:hAnsi="宋体"/>
          <w:szCs w:val="21"/>
        </w:rPr>
        <w:t xml:space="preserve"> 20%</w:t>
      </w:r>
      <w:r>
        <w:rPr>
          <w:rFonts w:hint="eastAsia" w:hAnsi="宋体"/>
          <w:szCs w:val="21"/>
        </w:rPr>
        <w:t>支付给委托人，作为违约赔偿金。</w:t>
      </w:r>
      <w:r>
        <w:rPr>
          <w:rFonts w:hAnsi="宋体"/>
          <w:szCs w:val="21"/>
        </w:rPr>
        <w:t xml:space="preserve"> </w:t>
      </w:r>
    </w:p>
    <w:p>
      <w:pPr>
        <w:spacing w:line="360" w:lineRule="exact"/>
        <w:ind w:firstLine="315" w:firstLineChars="150"/>
        <w:rPr>
          <w:rFonts w:hAnsi="宋体"/>
          <w:szCs w:val="21"/>
        </w:rPr>
      </w:pPr>
      <w:r>
        <w:rPr>
          <w:rFonts w:hint="eastAsia" w:hAnsi="宋体"/>
          <w:szCs w:val="21"/>
        </w:rPr>
        <w:t>②其他情况造成损失：赔偿金＝直接经济损失×正常工作酬金÷工程概算投资额（或建筑安装工程费）</w:t>
      </w:r>
      <w:r>
        <w:rPr>
          <w:rFonts w:hAnsi="宋体"/>
          <w:szCs w:val="21"/>
        </w:rPr>
        <w:t xml:space="preserve"> </w:t>
      </w:r>
    </w:p>
    <w:p>
      <w:pPr>
        <w:pStyle w:val="10"/>
        <w:ind w:firstLine="0" w:firstLineChars="0"/>
        <w:jc w:val="left"/>
      </w:pPr>
    </w:p>
    <w:p>
      <w:pPr>
        <w:snapToGrid w:val="0"/>
        <w:spacing w:line="360" w:lineRule="auto"/>
        <w:rPr>
          <w:kern w:val="0"/>
          <w:szCs w:val="21"/>
        </w:rPr>
      </w:pPr>
      <w:r>
        <w:rPr>
          <w:kern w:val="0"/>
          <w:szCs w:val="21"/>
        </w:rPr>
        <w:t xml:space="preserve">4.2 </w:t>
      </w:r>
      <w:r>
        <w:rPr>
          <w:rFonts w:hAnsi="宋体"/>
          <w:kern w:val="0"/>
          <w:szCs w:val="21"/>
        </w:rPr>
        <w:t>委托人的违约责任</w:t>
      </w:r>
    </w:p>
    <w:p>
      <w:pPr>
        <w:spacing w:line="360" w:lineRule="auto"/>
        <w:ind w:firstLine="420" w:firstLineChars="200"/>
        <w:rPr>
          <w:kern w:val="0"/>
          <w:szCs w:val="21"/>
        </w:rPr>
      </w:pPr>
      <w:r>
        <w:rPr>
          <w:rFonts w:hAnsi="宋体"/>
          <w:szCs w:val="21"/>
        </w:rPr>
        <w:t>委托人</w:t>
      </w:r>
      <w:r>
        <w:rPr>
          <w:rFonts w:hAnsi="宋体"/>
          <w:kern w:val="0"/>
          <w:szCs w:val="21"/>
        </w:rPr>
        <w:t>逾期付款利息按下列方法确定：</w:t>
      </w:r>
    </w:p>
    <w:p>
      <w:pPr>
        <w:spacing w:line="360" w:lineRule="auto"/>
        <w:ind w:firstLine="420" w:firstLineChars="200"/>
        <w:rPr>
          <w:szCs w:val="21"/>
        </w:rPr>
      </w:pPr>
      <w:r>
        <w:rPr>
          <w:rFonts w:hAnsi="宋体"/>
          <w:szCs w:val="21"/>
        </w:rPr>
        <w:t>逾期付款利息＝当期应付款总额</w:t>
      </w:r>
      <w:r>
        <w:rPr>
          <w:szCs w:val="21"/>
        </w:rPr>
        <w:t>×</w:t>
      </w:r>
      <w:r>
        <w:rPr>
          <w:rFonts w:hAnsi="宋体"/>
          <w:szCs w:val="21"/>
        </w:rPr>
        <w:t>银行同期贷款</w:t>
      </w:r>
      <w:r>
        <w:rPr>
          <w:rFonts w:hint="eastAsia" w:hAnsi="宋体"/>
          <w:szCs w:val="21"/>
        </w:rPr>
        <w:t>日</w:t>
      </w:r>
      <w:r>
        <w:rPr>
          <w:rFonts w:hAnsi="宋体"/>
          <w:szCs w:val="21"/>
        </w:rPr>
        <w:t>利率</w:t>
      </w:r>
      <w:r>
        <w:rPr>
          <w:szCs w:val="21"/>
        </w:rPr>
        <w:t>×</w:t>
      </w:r>
      <w:r>
        <w:rPr>
          <w:rFonts w:hAnsi="宋体"/>
          <w:szCs w:val="21"/>
        </w:rPr>
        <w:t>拖延支付天数</w:t>
      </w:r>
    </w:p>
    <w:p>
      <w:pPr>
        <w:pStyle w:val="4"/>
      </w:pPr>
      <w:bookmarkStart w:id="76" w:name="_Toc20323420"/>
      <w:bookmarkStart w:id="77" w:name="_Toc459567819"/>
      <w:r>
        <w:t xml:space="preserve">5. </w:t>
      </w:r>
      <w:r>
        <w:rPr>
          <w:rFonts w:hAnsi="宋体"/>
        </w:rPr>
        <w:t>支付</w:t>
      </w:r>
      <w:bookmarkEnd w:id="76"/>
      <w:bookmarkEnd w:id="77"/>
    </w:p>
    <w:p>
      <w:pPr>
        <w:snapToGrid w:val="0"/>
        <w:spacing w:line="360" w:lineRule="auto"/>
        <w:rPr>
          <w:rFonts w:hAnsi="宋体"/>
          <w:bCs/>
          <w:szCs w:val="21"/>
        </w:rPr>
      </w:pPr>
      <w:r>
        <w:rPr>
          <w:szCs w:val="21"/>
        </w:rPr>
        <w:t xml:space="preserve">5.1 </w:t>
      </w:r>
      <w:r>
        <w:rPr>
          <w:rFonts w:hAnsi="宋体"/>
          <w:bCs/>
          <w:szCs w:val="21"/>
        </w:rPr>
        <w:t>支付货币</w:t>
      </w:r>
    </w:p>
    <w:p>
      <w:pPr>
        <w:snapToGrid w:val="0"/>
        <w:spacing w:line="360" w:lineRule="auto"/>
        <w:ind w:firstLine="420" w:firstLineChars="200"/>
        <w:rPr>
          <w:szCs w:val="21"/>
          <w:u w:val="single"/>
        </w:rPr>
      </w:pPr>
      <w:r>
        <w:rPr>
          <w:rFonts w:hint="eastAsia" w:hAnsi="宋体"/>
          <w:szCs w:val="21"/>
          <w:u w:val="single"/>
        </w:rPr>
        <w:t xml:space="preserve">           人民币                  </w:t>
      </w:r>
      <w:r>
        <w:rPr>
          <w:szCs w:val="21"/>
          <w:u w:val="single"/>
        </w:rPr>
        <w:t xml:space="preserve"> </w:t>
      </w:r>
    </w:p>
    <w:p>
      <w:pPr>
        <w:snapToGrid w:val="0"/>
        <w:spacing w:line="360" w:lineRule="auto"/>
        <w:rPr>
          <w:kern w:val="0"/>
          <w:szCs w:val="21"/>
        </w:rPr>
      </w:pPr>
      <w:r>
        <w:rPr>
          <w:kern w:val="0"/>
          <w:szCs w:val="21"/>
        </w:rPr>
        <w:t>5.</w:t>
      </w:r>
      <w:r>
        <w:rPr>
          <w:rFonts w:hint="eastAsia"/>
          <w:kern w:val="0"/>
          <w:szCs w:val="21"/>
        </w:rPr>
        <w:t>2</w:t>
      </w:r>
      <w:r>
        <w:rPr>
          <w:kern w:val="0"/>
          <w:szCs w:val="21"/>
        </w:rPr>
        <w:t xml:space="preserve"> </w:t>
      </w:r>
      <w:r>
        <w:rPr>
          <w:rFonts w:hAnsi="宋体"/>
          <w:kern w:val="0"/>
          <w:szCs w:val="21"/>
        </w:rPr>
        <w:t>支付酬金</w:t>
      </w:r>
    </w:p>
    <w:p>
      <w:pPr>
        <w:snapToGrid w:val="0"/>
        <w:spacing w:line="360" w:lineRule="auto"/>
        <w:ind w:firstLine="420" w:firstLineChars="200"/>
        <w:rPr>
          <w:kern w:val="0"/>
          <w:szCs w:val="21"/>
        </w:rPr>
      </w:pPr>
      <w:r>
        <w:rPr>
          <w:rFonts w:hAnsi="宋体"/>
          <w:kern w:val="0"/>
          <w:szCs w:val="21"/>
        </w:rPr>
        <w:t>委托人同意按以下的计算方法、支付时间与金额，支付监理人的酬金：</w:t>
      </w:r>
    </w:p>
    <w:p>
      <w:pPr>
        <w:snapToGrid w:val="0"/>
        <w:spacing w:line="360" w:lineRule="auto"/>
        <w:ind w:firstLine="420" w:firstLineChars="200"/>
        <w:rPr>
          <w:rFonts w:hAnsi="宋体"/>
          <w:kern w:val="0"/>
          <w:szCs w:val="21"/>
        </w:rPr>
      </w:pPr>
      <w:r>
        <w:rPr>
          <w:rFonts w:hAnsi="宋体"/>
          <w:kern w:val="0"/>
          <w:szCs w:val="21"/>
        </w:rPr>
        <w:t>5.</w:t>
      </w:r>
      <w:r>
        <w:rPr>
          <w:rFonts w:hint="eastAsia" w:hAnsi="宋体"/>
          <w:kern w:val="0"/>
          <w:szCs w:val="21"/>
        </w:rPr>
        <w:t>2</w:t>
      </w:r>
      <w:r>
        <w:rPr>
          <w:rFonts w:hAnsi="宋体"/>
          <w:kern w:val="0"/>
          <w:szCs w:val="21"/>
        </w:rPr>
        <w:t>.1监理酬金计算方法：</w:t>
      </w:r>
    </w:p>
    <w:p>
      <w:pPr>
        <w:snapToGrid w:val="0"/>
        <w:spacing w:line="360" w:lineRule="auto"/>
        <w:ind w:firstLine="420" w:firstLineChars="200"/>
        <w:rPr>
          <w:rFonts w:hAnsi="宋体"/>
          <w:color w:val="auto"/>
          <w:kern w:val="0"/>
          <w:szCs w:val="21"/>
          <w:highlight w:val="none"/>
        </w:rPr>
      </w:pPr>
      <w:r>
        <w:rPr>
          <w:rFonts w:hint="eastAsia" w:hAnsi="宋体"/>
          <w:color w:val="auto"/>
          <w:kern w:val="0"/>
          <w:szCs w:val="21"/>
          <w:highlight w:val="none"/>
        </w:rPr>
        <w:t>监理酬金=中标金额</w:t>
      </w:r>
    </w:p>
    <w:p>
      <w:pPr>
        <w:snapToGrid w:val="0"/>
        <w:spacing w:line="360" w:lineRule="auto"/>
        <w:ind w:firstLine="420" w:firstLineChars="200"/>
        <w:rPr>
          <w:rFonts w:hAnsi="宋体"/>
          <w:kern w:val="0"/>
          <w:szCs w:val="21"/>
        </w:rPr>
      </w:pPr>
      <w:r>
        <w:rPr>
          <w:rFonts w:hAnsi="宋体"/>
          <w:kern w:val="0"/>
          <w:szCs w:val="21"/>
        </w:rPr>
        <w:t>5.</w:t>
      </w:r>
      <w:r>
        <w:rPr>
          <w:rFonts w:hint="eastAsia" w:hAnsi="宋体"/>
          <w:kern w:val="0"/>
          <w:szCs w:val="21"/>
        </w:rPr>
        <w:t>2</w:t>
      </w:r>
      <w:r>
        <w:rPr>
          <w:rFonts w:hAnsi="宋体"/>
          <w:kern w:val="0"/>
          <w:szCs w:val="21"/>
        </w:rPr>
        <w:t>.2</w:t>
      </w:r>
      <w:r>
        <w:rPr>
          <w:rFonts w:hint="eastAsia" w:hAnsi="宋体"/>
          <w:kern w:val="0"/>
          <w:szCs w:val="21"/>
        </w:rPr>
        <w:t>施工阶段</w:t>
      </w:r>
      <w:r>
        <w:rPr>
          <w:rFonts w:hAnsi="宋体"/>
          <w:kern w:val="0"/>
          <w:szCs w:val="21"/>
        </w:rPr>
        <w:t>监理酬金支付时间与金额：</w:t>
      </w:r>
    </w:p>
    <w:p>
      <w:pPr>
        <w:numPr>
          <w:ilvl w:val="0"/>
          <w:numId w:val="1"/>
        </w:numPr>
        <w:snapToGrid w:val="0"/>
        <w:spacing w:line="360" w:lineRule="auto"/>
        <w:ind w:firstLine="420" w:firstLineChars="200"/>
        <w:rPr>
          <w:rFonts w:hAnsi="宋体"/>
          <w:kern w:val="0"/>
          <w:szCs w:val="21"/>
        </w:rPr>
      </w:pPr>
      <w:r>
        <w:rPr>
          <w:rFonts w:hAnsi="宋体"/>
          <w:kern w:val="0"/>
          <w:szCs w:val="21"/>
        </w:rPr>
        <w:t>本工程监理费预付款为：</w:t>
      </w:r>
      <w:r>
        <w:rPr>
          <w:rFonts w:hint="eastAsia" w:hAnsi="宋体"/>
          <w:kern w:val="0"/>
          <w:szCs w:val="21"/>
        </w:rPr>
        <w:t>无</w:t>
      </w:r>
    </w:p>
    <w:p>
      <w:pPr>
        <w:snapToGrid w:val="0"/>
        <w:spacing w:line="360" w:lineRule="auto"/>
        <w:ind w:firstLine="420" w:firstLineChars="200"/>
        <w:rPr>
          <w:rFonts w:hAnsi="宋体"/>
          <w:kern w:val="0"/>
          <w:szCs w:val="21"/>
        </w:rPr>
      </w:pPr>
      <w:r>
        <w:rPr>
          <w:rFonts w:hAnsi="宋体"/>
          <w:kern w:val="0"/>
          <w:szCs w:val="21"/>
        </w:rPr>
        <w:t>（2）在监理合同已签订，监理人员进场并正常开展监理业务后，委托人在每月25日前，向监理人按月支付监理服务酬金：</w:t>
      </w:r>
    </w:p>
    <w:p>
      <w:pPr>
        <w:snapToGrid w:val="0"/>
        <w:spacing w:line="360" w:lineRule="auto"/>
        <w:ind w:firstLine="420" w:firstLineChars="200"/>
        <w:rPr>
          <w:rFonts w:hAnsi="宋体"/>
          <w:kern w:val="0"/>
          <w:szCs w:val="21"/>
        </w:rPr>
      </w:pPr>
      <w:r>
        <w:rPr>
          <w:rFonts w:hint="eastAsia" w:hAnsi="宋体"/>
          <w:kern w:val="0"/>
          <w:szCs w:val="21"/>
        </w:rPr>
        <w:t>施工阶段</w:t>
      </w:r>
      <w:r>
        <w:rPr>
          <w:rFonts w:hAnsi="宋体"/>
          <w:kern w:val="0"/>
          <w:szCs w:val="21"/>
        </w:rPr>
        <w:t>月监理酬金=监理酬金×（1-20%）×（30÷本合同</w:t>
      </w:r>
      <w:r>
        <w:rPr>
          <w:rFonts w:hint="eastAsia" w:hAnsi="宋体"/>
          <w:kern w:val="0"/>
          <w:szCs w:val="21"/>
        </w:rPr>
        <w:t>施工阶段</w:t>
      </w:r>
      <w:r>
        <w:rPr>
          <w:rFonts w:hAnsi="宋体"/>
          <w:kern w:val="0"/>
          <w:szCs w:val="21"/>
        </w:rPr>
        <w:t>监理服务期（天））</w:t>
      </w:r>
    </w:p>
    <w:p>
      <w:pPr>
        <w:snapToGrid w:val="0"/>
        <w:spacing w:line="360" w:lineRule="auto"/>
        <w:ind w:firstLine="420" w:firstLineChars="200"/>
        <w:rPr>
          <w:rFonts w:hAnsi="宋体"/>
          <w:szCs w:val="21"/>
        </w:rPr>
      </w:pPr>
      <w:r>
        <w:rPr>
          <w:rFonts w:hAnsi="宋体"/>
          <w:szCs w:val="21"/>
        </w:rPr>
        <w:t>（</w:t>
      </w:r>
      <w:r>
        <w:rPr>
          <w:szCs w:val="21"/>
        </w:rPr>
        <w:t>3</w:t>
      </w:r>
      <w:r>
        <w:rPr>
          <w:rFonts w:hAnsi="宋体"/>
          <w:szCs w:val="21"/>
        </w:rPr>
        <w:t>）</w:t>
      </w:r>
      <w:r>
        <w:rPr>
          <w:rFonts w:hint="eastAsia" w:hAnsi="宋体"/>
          <w:szCs w:val="21"/>
        </w:rPr>
        <w:t>在工程通过竣工验收后</w:t>
      </w:r>
      <w:r>
        <w:rPr>
          <w:rFonts w:hAnsi="宋体"/>
          <w:szCs w:val="21"/>
        </w:rPr>
        <w:t>支付</w:t>
      </w:r>
      <w:r>
        <w:rPr>
          <w:rFonts w:hint="eastAsia" w:hAnsi="宋体"/>
          <w:szCs w:val="21"/>
        </w:rPr>
        <w:t>合同</w:t>
      </w:r>
      <w:r>
        <w:rPr>
          <w:rFonts w:hAnsi="宋体"/>
          <w:szCs w:val="21"/>
        </w:rPr>
        <w:t>监理服务酬金总额的</w:t>
      </w:r>
      <w:r>
        <w:rPr>
          <w:szCs w:val="21"/>
        </w:rPr>
        <w:t>95%</w:t>
      </w:r>
      <w:r>
        <w:rPr>
          <w:rFonts w:hint="eastAsia"/>
          <w:szCs w:val="21"/>
        </w:rPr>
        <w:t>，</w:t>
      </w:r>
      <w:r>
        <w:rPr>
          <w:rFonts w:hAnsi="宋体"/>
          <w:szCs w:val="21"/>
        </w:rPr>
        <w:t>工程结算审定完委托人将监理服务酬金总额的余款全部付清。</w:t>
      </w:r>
    </w:p>
    <w:p>
      <w:pPr>
        <w:snapToGrid w:val="0"/>
        <w:spacing w:line="360" w:lineRule="auto"/>
        <w:ind w:firstLine="420" w:firstLineChars="200"/>
      </w:pPr>
      <w:r>
        <w:rPr>
          <w:rFonts w:hint="eastAsia"/>
        </w:rPr>
        <w:t>本工程无预付款。监理报酬按施工进度支付，监理进度款支付限额为按已完成工程量计算的监理费的</w:t>
      </w:r>
      <w:r>
        <w:t xml:space="preserve"> 80%</w:t>
      </w:r>
      <w:r>
        <w:rPr>
          <w:rFonts w:hint="eastAsia"/>
        </w:rPr>
        <w:t>。项目工程竣工资料完成规定移交后，累计支付至监理费的</w:t>
      </w:r>
      <w:r>
        <w:t xml:space="preserve"> 95%</w:t>
      </w:r>
      <w:r>
        <w:rPr>
          <w:rFonts w:hint="eastAsia"/>
        </w:rPr>
        <w:t>；工程保修期满，监理人向委托人签发缺陷责任终止证书并监督施工单位将工程移交给相关管理部门后</w:t>
      </w:r>
      <w:r>
        <w:t xml:space="preserve"> 28 </w:t>
      </w:r>
      <w:r>
        <w:rPr>
          <w:rFonts w:hint="eastAsia"/>
        </w:rPr>
        <w:t>天内，委托人将监理报酬余款全部付清。（注：资金来自财政拨付，乙方需提供相关结算资料报甲方，由甲方向财政申请资金，资金到位后</w:t>
      </w:r>
      <w:r>
        <w:t xml:space="preserve"> 14 </w:t>
      </w:r>
      <w:r>
        <w:rPr>
          <w:rFonts w:hint="eastAsia"/>
        </w:rPr>
        <w:t>个工作日内支付给乙方）</w:t>
      </w:r>
    </w:p>
    <w:p>
      <w:pPr>
        <w:pStyle w:val="10"/>
        <w:ind w:firstLine="275" w:firstLineChars="131"/>
        <w:jc w:val="left"/>
      </w:pPr>
    </w:p>
    <w:p>
      <w:pPr>
        <w:snapToGrid w:val="0"/>
        <w:spacing w:line="360" w:lineRule="auto"/>
        <w:ind w:firstLine="420" w:firstLineChars="200"/>
        <w:rPr>
          <w:rFonts w:hAnsi="宋体"/>
          <w:szCs w:val="21"/>
        </w:rPr>
      </w:pPr>
      <w:r>
        <w:rPr>
          <w:szCs w:val="21"/>
        </w:rPr>
        <w:t>5.</w:t>
      </w:r>
      <w:r>
        <w:rPr>
          <w:rFonts w:hint="eastAsia"/>
          <w:szCs w:val="21"/>
        </w:rPr>
        <w:t>2</w:t>
      </w:r>
      <w:r>
        <w:rPr>
          <w:szCs w:val="21"/>
        </w:rPr>
        <w:t>.3</w:t>
      </w:r>
      <w:r>
        <w:rPr>
          <w:rFonts w:hint="eastAsia"/>
          <w:szCs w:val="21"/>
        </w:rPr>
        <w:t xml:space="preserve"> </w:t>
      </w:r>
      <w:r>
        <w:rPr>
          <w:rFonts w:hAnsi="宋体"/>
          <w:szCs w:val="21"/>
        </w:rPr>
        <w:t>延期费用的支付：</w:t>
      </w:r>
    </w:p>
    <w:p>
      <w:pPr>
        <w:snapToGrid w:val="0"/>
        <w:spacing w:line="360" w:lineRule="auto"/>
        <w:ind w:firstLine="420" w:firstLineChars="200"/>
        <w:rPr>
          <w:spacing w:val="-4"/>
        </w:rPr>
      </w:pPr>
      <w:r>
        <w:rPr>
          <w:rFonts w:hint="eastAsia"/>
        </w:rPr>
        <w:t>由于非监理人原因，使得施工阶段的实际监理服务期超出合同监理服务期时，监理人不应</w:t>
      </w:r>
      <w:r>
        <w:rPr>
          <w:rFonts w:hint="eastAsia"/>
          <w:spacing w:val="-1"/>
        </w:rPr>
        <w:t>拒绝，委托人不另行支付费用。由于施工承包人原因资料未及时整理和扫尾工作期过长而导致</w:t>
      </w:r>
      <w:r>
        <w:rPr>
          <w:rFonts w:hint="eastAsia"/>
          <w:spacing w:val="-5"/>
        </w:rPr>
        <w:t>完工验收推迟，使得施工阶段的实际监理服务期延长，监理人不应拒绝，委托人不另支付费用。</w:t>
      </w:r>
      <w:r>
        <w:rPr>
          <w:rFonts w:hint="eastAsia"/>
          <w:spacing w:val="-4"/>
        </w:rPr>
        <w:t>在合同执行过程中任何情况造成施工工期延长都不增加监理费，同时监理人不得向工程承包人索取监理报酬。</w:t>
      </w:r>
    </w:p>
    <w:p>
      <w:pPr>
        <w:pStyle w:val="5"/>
        <w:tabs>
          <w:tab w:val="left" w:pos="2744"/>
          <w:tab w:val="left" w:pos="3375"/>
        </w:tabs>
        <w:kinsoku w:val="0"/>
        <w:overflowPunct w:val="0"/>
        <w:spacing w:line="266" w:lineRule="exact"/>
        <w:ind w:firstLine="420" w:firstLineChars="200"/>
        <w:jc w:val="left"/>
      </w:pPr>
      <w:r>
        <w:rPr>
          <w:rFonts w:hint="eastAsia"/>
        </w:rPr>
        <w:t>其他约定：</w:t>
      </w:r>
      <w:r>
        <w:rPr>
          <w:u w:val="single" w:color="000000"/>
        </w:rPr>
        <w:t xml:space="preserve"> </w:t>
      </w:r>
      <w:r>
        <w:rPr>
          <w:u w:val="single" w:color="000000"/>
        </w:rPr>
        <w:tab/>
      </w:r>
      <w:r>
        <w:rPr>
          <w:rFonts w:hint="eastAsia"/>
          <w:u w:val="single" w:color="000000"/>
        </w:rPr>
        <w:t>无</w:t>
      </w:r>
      <w:r>
        <w:rPr>
          <w:u w:val="single" w:color="000000"/>
        </w:rPr>
        <w:tab/>
      </w:r>
    </w:p>
    <w:p>
      <w:pPr>
        <w:snapToGrid w:val="0"/>
        <w:spacing w:line="360" w:lineRule="auto"/>
        <w:ind w:firstLine="420" w:firstLineChars="200"/>
        <w:rPr>
          <w:rFonts w:hAnsi="宋体"/>
          <w:szCs w:val="21"/>
        </w:rPr>
      </w:pPr>
      <w:r>
        <w:rPr>
          <w:rFonts w:hint="eastAsia" w:hAnsi="宋体"/>
          <w:szCs w:val="21"/>
        </w:rPr>
        <w:t>5.2.4 其它阶段监理酬金支付</w:t>
      </w:r>
    </w:p>
    <w:p>
      <w:pPr>
        <w:snapToGrid w:val="0"/>
        <w:spacing w:line="360" w:lineRule="auto"/>
        <w:ind w:firstLine="420" w:firstLineChars="200"/>
        <w:rPr>
          <w:rFonts w:hAnsi="宋体"/>
          <w:szCs w:val="21"/>
          <w:u w:val="single"/>
        </w:rPr>
      </w:pPr>
      <w:r>
        <w:rPr>
          <w:rFonts w:hAnsi="宋体"/>
          <w:szCs w:val="21"/>
        </w:rPr>
        <w:t>在监理合同已签订，监理人员进场并正常开展监理业务后，委托人在每月25日前，向监理人按月支付监理服务酬金：</w:t>
      </w:r>
      <w:r>
        <w:rPr>
          <w:rFonts w:hint="eastAsia" w:hAnsi="宋体"/>
          <w:szCs w:val="21"/>
          <w:u w:val="single"/>
        </w:rPr>
        <w:t>/</w:t>
      </w:r>
    </w:p>
    <w:p>
      <w:pPr>
        <w:pStyle w:val="4"/>
      </w:pPr>
      <w:bookmarkStart w:id="78" w:name="_Toc20323421"/>
      <w:bookmarkStart w:id="79" w:name="_Toc459567820"/>
      <w:r>
        <w:t>6. 合同生效、变更、暂停、解除与终止</w:t>
      </w:r>
      <w:bookmarkEnd w:id="78"/>
      <w:bookmarkEnd w:id="79"/>
    </w:p>
    <w:p>
      <w:pPr>
        <w:adjustRightInd w:val="0"/>
        <w:snapToGrid w:val="0"/>
        <w:spacing w:line="360" w:lineRule="auto"/>
        <w:rPr>
          <w:szCs w:val="21"/>
        </w:rPr>
      </w:pPr>
      <w:r>
        <w:rPr>
          <w:szCs w:val="21"/>
        </w:rPr>
        <w:t xml:space="preserve">6.1 </w:t>
      </w:r>
      <w:r>
        <w:rPr>
          <w:rFonts w:hAnsi="宋体"/>
          <w:szCs w:val="21"/>
        </w:rPr>
        <w:t>生效</w:t>
      </w:r>
    </w:p>
    <w:p>
      <w:pPr>
        <w:adjustRightInd w:val="0"/>
        <w:snapToGrid w:val="0"/>
        <w:spacing w:line="360" w:lineRule="auto"/>
        <w:ind w:firstLine="480"/>
        <w:rPr>
          <w:szCs w:val="21"/>
        </w:rPr>
      </w:pPr>
      <w:r>
        <w:rPr>
          <w:rFonts w:hAnsi="宋体"/>
          <w:szCs w:val="21"/>
        </w:rPr>
        <w:t>本合同生效条件：</w:t>
      </w:r>
      <w:r>
        <w:rPr>
          <w:szCs w:val="21"/>
          <w:u w:val="single"/>
        </w:rPr>
        <w:t xml:space="preserve"> </w:t>
      </w:r>
      <w:r>
        <w:rPr>
          <w:rFonts w:hint="eastAsia" w:ascii="宋体" w:hAnsi="宋体"/>
          <w:szCs w:val="21"/>
          <w:u w:val="single"/>
        </w:rPr>
        <w:t>委托人、监理人</w:t>
      </w:r>
      <w:r>
        <w:rPr>
          <w:rFonts w:hint="eastAsia" w:hAnsi="宋体"/>
          <w:szCs w:val="21"/>
          <w:u w:val="single"/>
        </w:rPr>
        <w:t>签字盖章后正式生效</w:t>
      </w:r>
      <w:r>
        <w:rPr>
          <w:szCs w:val="21"/>
          <w:u w:val="single"/>
        </w:rPr>
        <w:t xml:space="preserve"> </w:t>
      </w:r>
      <w:r>
        <w:rPr>
          <w:rFonts w:hAnsi="宋体"/>
          <w:szCs w:val="21"/>
        </w:rPr>
        <w:t>。</w:t>
      </w:r>
    </w:p>
    <w:p>
      <w:pPr>
        <w:adjustRightInd w:val="0"/>
        <w:snapToGrid w:val="0"/>
        <w:spacing w:line="360" w:lineRule="auto"/>
        <w:rPr>
          <w:szCs w:val="21"/>
        </w:rPr>
      </w:pPr>
      <w:r>
        <w:rPr>
          <w:szCs w:val="21"/>
        </w:rPr>
        <w:t xml:space="preserve">6.2 </w:t>
      </w:r>
      <w:r>
        <w:rPr>
          <w:rFonts w:hAnsi="宋体"/>
          <w:szCs w:val="21"/>
        </w:rPr>
        <w:t>变更</w:t>
      </w:r>
    </w:p>
    <w:p>
      <w:pPr>
        <w:adjustRightInd w:val="0"/>
        <w:snapToGrid w:val="0"/>
        <w:spacing w:line="360" w:lineRule="auto"/>
        <w:ind w:firstLine="420" w:firstLineChars="200"/>
        <w:rPr>
          <w:szCs w:val="21"/>
        </w:rPr>
      </w:pPr>
      <w:r>
        <w:rPr>
          <w:szCs w:val="21"/>
        </w:rPr>
        <w:t>6.2.</w:t>
      </w:r>
      <w:r>
        <w:rPr>
          <w:rFonts w:hint="eastAsia"/>
          <w:szCs w:val="21"/>
        </w:rPr>
        <w:t>1</w:t>
      </w:r>
      <w:r>
        <w:rPr>
          <w:szCs w:val="21"/>
        </w:rPr>
        <w:t xml:space="preserve"> </w:t>
      </w:r>
      <w:r>
        <w:rPr>
          <w:rFonts w:hAnsi="宋体"/>
          <w:szCs w:val="21"/>
        </w:rPr>
        <w:t>除不可抗力外，因非监理人原因导致本合同期限延长时，附加工作酬金按下列方法确定：</w:t>
      </w:r>
    </w:p>
    <w:p>
      <w:pPr>
        <w:snapToGrid w:val="0"/>
        <w:spacing w:line="360" w:lineRule="auto"/>
        <w:ind w:firstLine="420" w:firstLineChars="200"/>
        <w:rPr>
          <w:kern w:val="0"/>
          <w:szCs w:val="21"/>
        </w:rPr>
      </w:pPr>
      <w:r>
        <w:rPr>
          <w:rFonts w:hAnsi="宋体"/>
          <w:kern w:val="0"/>
          <w:szCs w:val="21"/>
        </w:rPr>
        <w:t>附加工作</w:t>
      </w:r>
      <w:r>
        <w:rPr>
          <w:rFonts w:hAnsi="宋体"/>
          <w:szCs w:val="21"/>
        </w:rPr>
        <w:t>酬金</w:t>
      </w:r>
      <w:r>
        <w:rPr>
          <w:kern w:val="0"/>
          <w:szCs w:val="21"/>
        </w:rPr>
        <w:t>=</w:t>
      </w:r>
      <w:r>
        <w:rPr>
          <w:rFonts w:hAnsi="宋体"/>
          <w:szCs w:val="21"/>
        </w:rPr>
        <w:t>本合同期限延长</w:t>
      </w:r>
      <w:r>
        <w:rPr>
          <w:rFonts w:hAnsi="宋体"/>
          <w:kern w:val="0"/>
          <w:szCs w:val="21"/>
        </w:rPr>
        <w:t>时间（天）</w:t>
      </w:r>
      <w:r>
        <w:rPr>
          <w:kern w:val="0"/>
          <w:szCs w:val="21"/>
        </w:rPr>
        <w:t>×</w:t>
      </w:r>
      <w:r>
        <w:rPr>
          <w:rFonts w:hAnsi="宋体"/>
          <w:kern w:val="0"/>
          <w:szCs w:val="21"/>
        </w:rPr>
        <w:t>正常工作酬金</w:t>
      </w:r>
      <w:r>
        <w:rPr>
          <w:kern w:val="0"/>
          <w:szCs w:val="21"/>
        </w:rPr>
        <w:t>÷</w:t>
      </w:r>
      <w:r>
        <w:rPr>
          <w:rFonts w:hAnsi="宋体"/>
          <w:szCs w:val="21"/>
        </w:rPr>
        <w:t>协议书约定的监理与相关服务期限</w:t>
      </w:r>
      <w:r>
        <w:rPr>
          <w:rFonts w:hAnsi="宋体"/>
          <w:kern w:val="0"/>
          <w:szCs w:val="21"/>
        </w:rPr>
        <w:t>（天）</w:t>
      </w:r>
    </w:p>
    <w:p>
      <w:pPr>
        <w:snapToGrid w:val="0"/>
        <w:spacing w:line="360" w:lineRule="auto"/>
        <w:ind w:firstLine="420" w:firstLineChars="200"/>
        <w:rPr>
          <w:szCs w:val="21"/>
        </w:rPr>
      </w:pPr>
      <w:r>
        <w:rPr>
          <w:szCs w:val="21"/>
        </w:rPr>
        <w:t>6.2.</w:t>
      </w:r>
      <w:r>
        <w:rPr>
          <w:rFonts w:hint="eastAsia"/>
          <w:szCs w:val="21"/>
        </w:rPr>
        <w:t xml:space="preserve">2 </w:t>
      </w:r>
      <w:r>
        <w:rPr>
          <w:rFonts w:hAnsi="宋体"/>
          <w:szCs w:val="21"/>
        </w:rPr>
        <w:t>附加工作酬金按下列方法确定：</w:t>
      </w:r>
    </w:p>
    <w:p>
      <w:pPr>
        <w:snapToGrid w:val="0"/>
        <w:spacing w:line="360" w:lineRule="auto"/>
        <w:ind w:firstLine="420" w:firstLineChars="200"/>
        <w:rPr>
          <w:kern w:val="0"/>
          <w:szCs w:val="21"/>
        </w:rPr>
      </w:pPr>
      <w:r>
        <w:rPr>
          <w:rFonts w:hAnsi="宋体"/>
          <w:kern w:val="0"/>
          <w:szCs w:val="21"/>
        </w:rPr>
        <w:t>附加工作</w:t>
      </w:r>
      <w:r>
        <w:rPr>
          <w:rFonts w:hAnsi="宋体"/>
          <w:szCs w:val="21"/>
        </w:rPr>
        <w:t>酬金</w:t>
      </w:r>
      <w:r>
        <w:rPr>
          <w:kern w:val="0"/>
          <w:szCs w:val="21"/>
        </w:rPr>
        <w:t>=</w:t>
      </w:r>
      <w:r>
        <w:rPr>
          <w:rFonts w:hAnsi="宋体"/>
          <w:kern w:val="0"/>
          <w:szCs w:val="21"/>
        </w:rPr>
        <w:t>善后工作及恢复服务的准备工作时间（天）</w:t>
      </w:r>
      <w:r>
        <w:rPr>
          <w:kern w:val="0"/>
          <w:szCs w:val="21"/>
        </w:rPr>
        <w:t>×</w:t>
      </w:r>
      <w:r>
        <w:rPr>
          <w:rFonts w:hAnsi="宋体"/>
          <w:kern w:val="0"/>
          <w:szCs w:val="21"/>
        </w:rPr>
        <w:t>正常工作酬金</w:t>
      </w:r>
      <w:r>
        <w:rPr>
          <w:kern w:val="0"/>
          <w:szCs w:val="21"/>
        </w:rPr>
        <w:t>÷</w:t>
      </w:r>
      <w:r>
        <w:rPr>
          <w:rFonts w:hAnsi="宋体"/>
          <w:szCs w:val="21"/>
        </w:rPr>
        <w:t>协议书约定的监理与相关服务期限</w:t>
      </w:r>
      <w:r>
        <w:rPr>
          <w:rFonts w:hAnsi="宋体"/>
          <w:kern w:val="0"/>
          <w:szCs w:val="21"/>
        </w:rPr>
        <w:t>（天）</w:t>
      </w:r>
    </w:p>
    <w:p>
      <w:pPr>
        <w:adjustRightInd w:val="0"/>
        <w:snapToGrid w:val="0"/>
        <w:spacing w:line="360" w:lineRule="auto"/>
        <w:ind w:firstLine="420" w:firstLineChars="200"/>
        <w:rPr>
          <w:szCs w:val="21"/>
        </w:rPr>
      </w:pPr>
      <w:r>
        <w:rPr>
          <w:szCs w:val="21"/>
        </w:rPr>
        <w:t>6.2.</w:t>
      </w:r>
      <w:r>
        <w:rPr>
          <w:rFonts w:hint="eastAsia"/>
          <w:szCs w:val="21"/>
        </w:rPr>
        <w:t>3</w:t>
      </w:r>
      <w:r>
        <w:rPr>
          <w:szCs w:val="21"/>
        </w:rPr>
        <w:t xml:space="preserve"> </w:t>
      </w:r>
      <w:r>
        <w:rPr>
          <w:rFonts w:hAnsi="宋体"/>
          <w:szCs w:val="21"/>
        </w:rPr>
        <w:t>正常工作酬金增加额按下列方法确定：</w:t>
      </w:r>
    </w:p>
    <w:p>
      <w:pPr>
        <w:adjustRightInd w:val="0"/>
        <w:snapToGrid w:val="0"/>
        <w:spacing w:line="360" w:lineRule="auto"/>
        <w:ind w:firstLine="480"/>
        <w:rPr>
          <w:kern w:val="0"/>
          <w:szCs w:val="21"/>
        </w:rPr>
      </w:pPr>
      <w:r>
        <w:rPr>
          <w:rFonts w:hAnsi="宋体"/>
          <w:szCs w:val="21"/>
        </w:rPr>
        <w:t>正常工作酬金增加额</w:t>
      </w:r>
      <w:r>
        <w:rPr>
          <w:kern w:val="0"/>
          <w:szCs w:val="21"/>
        </w:rPr>
        <w:t>=</w:t>
      </w:r>
      <w:r>
        <w:rPr>
          <w:rFonts w:hAnsi="宋体"/>
          <w:kern w:val="0"/>
          <w:szCs w:val="21"/>
        </w:rPr>
        <w:t>工程</w:t>
      </w:r>
      <w:r>
        <w:rPr>
          <w:rFonts w:hint="eastAsia" w:hAnsi="宋体"/>
          <w:kern w:val="0"/>
          <w:szCs w:val="21"/>
        </w:rPr>
        <w:t>增加</w:t>
      </w:r>
      <w:r>
        <w:rPr>
          <w:rFonts w:hAnsi="宋体"/>
          <w:kern w:val="0"/>
          <w:szCs w:val="21"/>
        </w:rPr>
        <w:t>投资额</w:t>
      </w:r>
      <w:r>
        <w:rPr>
          <w:kern w:val="0"/>
          <w:szCs w:val="21"/>
        </w:rPr>
        <w:t>×</w:t>
      </w:r>
      <w:r>
        <w:rPr>
          <w:rFonts w:hAnsi="宋体"/>
          <w:kern w:val="0"/>
          <w:szCs w:val="21"/>
        </w:rPr>
        <w:t>正常工作酬金</w:t>
      </w:r>
      <w:r>
        <w:rPr>
          <w:kern w:val="0"/>
          <w:szCs w:val="21"/>
        </w:rPr>
        <w:t>÷</w:t>
      </w:r>
      <w:r>
        <w:rPr>
          <w:rFonts w:hAnsi="宋体"/>
          <w:kern w:val="0"/>
          <w:szCs w:val="21"/>
        </w:rPr>
        <w:t>工程概算投资额（或建筑安装工程费）</w:t>
      </w:r>
    </w:p>
    <w:p>
      <w:pPr>
        <w:snapToGrid w:val="0"/>
        <w:spacing w:line="360" w:lineRule="auto"/>
        <w:ind w:firstLine="420" w:firstLineChars="200"/>
        <w:rPr>
          <w:szCs w:val="21"/>
        </w:rPr>
      </w:pPr>
      <w:r>
        <w:rPr>
          <w:szCs w:val="21"/>
        </w:rPr>
        <w:t>6.2.</w:t>
      </w:r>
      <w:r>
        <w:rPr>
          <w:rFonts w:hint="eastAsia"/>
          <w:szCs w:val="21"/>
        </w:rPr>
        <w:t>4</w:t>
      </w:r>
      <w:r>
        <w:rPr>
          <w:szCs w:val="21"/>
        </w:rPr>
        <w:t xml:space="preserve"> </w:t>
      </w:r>
      <w:r>
        <w:rPr>
          <w:rFonts w:hAnsi="宋体"/>
          <w:szCs w:val="21"/>
        </w:rPr>
        <w:t>因工程规模、监理范围的变化导致监理人的正常工作量减少时，按减少工作量的比例从协议书约定的正常工作酬金中扣减相同比例的酬金。</w:t>
      </w:r>
    </w:p>
    <w:p>
      <w:pPr>
        <w:pStyle w:val="4"/>
      </w:pPr>
      <w:bookmarkStart w:id="80" w:name="_Toc20323422"/>
      <w:bookmarkStart w:id="81" w:name="_Toc459567821"/>
      <w:r>
        <w:t xml:space="preserve">7. </w:t>
      </w:r>
      <w:r>
        <w:rPr>
          <w:rFonts w:hAnsi="宋体"/>
        </w:rPr>
        <w:t>争议解决</w:t>
      </w:r>
      <w:bookmarkEnd w:id="80"/>
      <w:bookmarkEnd w:id="81"/>
    </w:p>
    <w:p>
      <w:pPr>
        <w:snapToGrid w:val="0"/>
        <w:spacing w:line="360" w:lineRule="auto"/>
        <w:rPr>
          <w:szCs w:val="21"/>
        </w:rPr>
      </w:pPr>
      <w:r>
        <w:rPr>
          <w:szCs w:val="21"/>
        </w:rPr>
        <w:t>7.</w:t>
      </w:r>
      <w:r>
        <w:rPr>
          <w:rFonts w:hint="eastAsia"/>
          <w:szCs w:val="21"/>
        </w:rPr>
        <w:t>1</w:t>
      </w:r>
      <w:r>
        <w:rPr>
          <w:szCs w:val="21"/>
        </w:rPr>
        <w:t xml:space="preserve"> </w:t>
      </w:r>
      <w:r>
        <w:rPr>
          <w:rFonts w:hAnsi="宋体"/>
          <w:bCs/>
          <w:szCs w:val="21"/>
        </w:rPr>
        <w:t>调解</w:t>
      </w:r>
    </w:p>
    <w:p>
      <w:pPr>
        <w:snapToGrid w:val="0"/>
        <w:spacing w:line="360" w:lineRule="auto"/>
        <w:ind w:firstLine="411" w:firstLineChars="196"/>
        <w:rPr>
          <w:szCs w:val="21"/>
        </w:rPr>
      </w:pPr>
      <w:r>
        <w:rPr>
          <w:rFonts w:hAnsi="宋体"/>
          <w:szCs w:val="21"/>
        </w:rPr>
        <w:t>本合同争议进行调解时，可提交</w:t>
      </w:r>
      <w:r>
        <w:rPr>
          <w:szCs w:val="21"/>
          <w:u w:val="single"/>
        </w:rPr>
        <w:t xml:space="preserve">      </w:t>
      </w:r>
      <w:r>
        <w:rPr>
          <w:rFonts w:hint="eastAsia"/>
          <w:szCs w:val="21"/>
          <w:u w:val="single"/>
        </w:rPr>
        <w:t>/</w:t>
      </w:r>
      <w:r>
        <w:rPr>
          <w:szCs w:val="21"/>
          <w:u w:val="single"/>
        </w:rPr>
        <w:t xml:space="preserve">     </w:t>
      </w:r>
      <w:r>
        <w:rPr>
          <w:rFonts w:hAnsi="宋体"/>
          <w:szCs w:val="21"/>
        </w:rPr>
        <w:t>进行调解。</w:t>
      </w:r>
    </w:p>
    <w:p>
      <w:pPr>
        <w:snapToGrid w:val="0"/>
        <w:spacing w:line="360" w:lineRule="auto"/>
        <w:rPr>
          <w:szCs w:val="21"/>
        </w:rPr>
      </w:pPr>
      <w:r>
        <w:rPr>
          <w:szCs w:val="21"/>
        </w:rPr>
        <w:t>7.</w:t>
      </w:r>
      <w:r>
        <w:rPr>
          <w:rFonts w:hint="eastAsia"/>
          <w:szCs w:val="21"/>
        </w:rPr>
        <w:t>2</w:t>
      </w:r>
      <w:r>
        <w:rPr>
          <w:szCs w:val="21"/>
        </w:rPr>
        <w:t xml:space="preserve"> </w:t>
      </w:r>
      <w:r>
        <w:rPr>
          <w:rFonts w:hAnsi="宋体"/>
          <w:bCs/>
          <w:szCs w:val="21"/>
        </w:rPr>
        <w:t>仲裁或诉讼</w:t>
      </w:r>
    </w:p>
    <w:p>
      <w:pPr>
        <w:adjustRightInd w:val="0"/>
        <w:snapToGrid w:val="0"/>
        <w:spacing w:line="360" w:lineRule="auto"/>
        <w:ind w:firstLine="420" w:firstLineChars="200"/>
        <w:rPr>
          <w:szCs w:val="21"/>
        </w:rPr>
      </w:pPr>
      <w:r>
        <w:rPr>
          <w:rFonts w:hAnsi="宋体"/>
          <w:szCs w:val="21"/>
        </w:rPr>
        <w:t>合同争议的最终解决方式为下列第</w:t>
      </w:r>
      <w:r>
        <w:rPr>
          <w:szCs w:val="21"/>
          <w:u w:val="single"/>
        </w:rPr>
        <w:t xml:space="preserve">    </w:t>
      </w:r>
      <w:r>
        <w:rPr>
          <w:rFonts w:hint="eastAsia"/>
          <w:szCs w:val="21"/>
          <w:u w:val="single"/>
        </w:rPr>
        <w:t>（2）</w:t>
      </w:r>
      <w:r>
        <w:rPr>
          <w:szCs w:val="21"/>
          <w:u w:val="single"/>
        </w:rPr>
        <w:t xml:space="preserve">    </w:t>
      </w:r>
      <w:r>
        <w:rPr>
          <w:rFonts w:hAnsi="宋体"/>
          <w:szCs w:val="21"/>
        </w:rPr>
        <w:t>种方式：</w:t>
      </w:r>
    </w:p>
    <w:p>
      <w:pPr>
        <w:adjustRightInd w:val="0"/>
        <w:snapToGrid w:val="0"/>
        <w:spacing w:line="360" w:lineRule="auto"/>
        <w:ind w:firstLine="420" w:firstLineChars="200"/>
        <w:rPr>
          <w:szCs w:val="21"/>
        </w:rPr>
      </w:pPr>
      <w:r>
        <w:rPr>
          <w:rFonts w:hAnsi="宋体"/>
          <w:szCs w:val="21"/>
        </w:rPr>
        <w:t>（</w:t>
      </w:r>
      <w:r>
        <w:rPr>
          <w:szCs w:val="21"/>
        </w:rPr>
        <w:t>1</w:t>
      </w:r>
      <w:r>
        <w:rPr>
          <w:rFonts w:hAnsi="宋体"/>
          <w:szCs w:val="21"/>
        </w:rPr>
        <w:t>）提请</w:t>
      </w:r>
      <w:r>
        <w:rPr>
          <w:szCs w:val="21"/>
          <w:u w:val="single"/>
        </w:rPr>
        <w:t xml:space="preserve">        </w:t>
      </w:r>
      <w:r>
        <w:rPr>
          <w:rFonts w:hAnsi="宋体"/>
          <w:szCs w:val="21"/>
        </w:rPr>
        <w:t>仲裁委员会进行仲裁。</w:t>
      </w:r>
    </w:p>
    <w:p>
      <w:pPr>
        <w:adjustRightInd w:val="0"/>
        <w:snapToGrid w:val="0"/>
        <w:spacing w:line="360" w:lineRule="auto"/>
        <w:ind w:firstLine="420" w:firstLineChars="200"/>
        <w:rPr>
          <w:szCs w:val="21"/>
        </w:rPr>
      </w:pPr>
      <w:r>
        <w:rPr>
          <w:rFonts w:hAnsi="宋体"/>
          <w:szCs w:val="21"/>
        </w:rPr>
        <w:t>（</w:t>
      </w:r>
      <w:r>
        <w:rPr>
          <w:szCs w:val="21"/>
        </w:rPr>
        <w:t>2</w:t>
      </w:r>
      <w:r>
        <w:rPr>
          <w:rFonts w:hAnsi="宋体"/>
          <w:szCs w:val="21"/>
        </w:rPr>
        <w:t>）向</w:t>
      </w:r>
      <w:r>
        <w:rPr>
          <w:szCs w:val="21"/>
          <w:u w:val="single"/>
        </w:rPr>
        <w:t xml:space="preserve">  </w:t>
      </w:r>
      <w:r>
        <w:rPr>
          <w:rFonts w:hint="eastAsia" w:ascii="宋体" w:hAnsi="宋体" w:cs="宋体"/>
          <w:szCs w:val="21"/>
          <w:u w:val="single"/>
        </w:rPr>
        <w:t>项目所在地</w:t>
      </w:r>
      <w:r>
        <w:rPr>
          <w:szCs w:val="21"/>
          <w:u w:val="single"/>
        </w:rPr>
        <w:t xml:space="preserve">  </w:t>
      </w:r>
      <w:r>
        <w:rPr>
          <w:rFonts w:hAnsi="宋体"/>
          <w:szCs w:val="21"/>
        </w:rPr>
        <w:t>人民法院提起诉讼。</w:t>
      </w:r>
    </w:p>
    <w:p>
      <w:pPr>
        <w:pStyle w:val="4"/>
      </w:pPr>
      <w:bookmarkStart w:id="82" w:name="_Toc20323423"/>
      <w:bookmarkStart w:id="83" w:name="_Toc459567822"/>
      <w:r>
        <w:t xml:space="preserve">8. </w:t>
      </w:r>
      <w:r>
        <w:rPr>
          <w:rFonts w:hAnsi="宋体"/>
        </w:rPr>
        <w:t>其他</w:t>
      </w:r>
      <w:bookmarkEnd w:id="82"/>
      <w:bookmarkEnd w:id="83"/>
    </w:p>
    <w:p>
      <w:pPr>
        <w:adjustRightInd w:val="0"/>
        <w:snapToGrid w:val="0"/>
        <w:spacing w:line="360" w:lineRule="auto"/>
        <w:rPr>
          <w:rFonts w:hAnsi="宋体"/>
          <w:bCs/>
          <w:szCs w:val="21"/>
        </w:rPr>
      </w:pPr>
      <w:r>
        <w:rPr>
          <w:bCs/>
          <w:szCs w:val="21"/>
        </w:rPr>
        <w:t>8.</w:t>
      </w:r>
      <w:r>
        <w:rPr>
          <w:rFonts w:hint="eastAsia"/>
          <w:bCs/>
          <w:szCs w:val="21"/>
        </w:rPr>
        <w:t>1</w:t>
      </w:r>
      <w:r>
        <w:rPr>
          <w:bCs/>
          <w:szCs w:val="21"/>
        </w:rPr>
        <w:t xml:space="preserve"> </w:t>
      </w:r>
      <w:r>
        <w:rPr>
          <w:rFonts w:hAnsi="宋体"/>
          <w:bCs/>
          <w:szCs w:val="21"/>
        </w:rPr>
        <w:t>检测费用</w:t>
      </w:r>
    </w:p>
    <w:p>
      <w:pPr>
        <w:adjustRightInd w:val="0"/>
        <w:snapToGrid w:val="0"/>
        <w:spacing w:line="360" w:lineRule="auto"/>
        <w:ind w:firstLine="420" w:firstLineChars="200"/>
        <w:rPr>
          <w:bCs/>
          <w:szCs w:val="21"/>
        </w:rPr>
      </w:pPr>
      <w:r>
        <w:rPr>
          <w:rFonts w:hAnsi="宋体"/>
          <w:bCs/>
          <w:szCs w:val="21"/>
        </w:rPr>
        <w:t>委托人应在检测工作完成后</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hAnsi="宋体"/>
          <w:bCs/>
          <w:szCs w:val="21"/>
        </w:rPr>
        <w:t>天内支付检测费用。</w:t>
      </w:r>
    </w:p>
    <w:p>
      <w:pPr>
        <w:adjustRightInd w:val="0"/>
        <w:snapToGrid w:val="0"/>
        <w:spacing w:line="360" w:lineRule="auto"/>
        <w:rPr>
          <w:bCs/>
          <w:szCs w:val="21"/>
        </w:rPr>
      </w:pPr>
      <w:r>
        <w:rPr>
          <w:bCs/>
          <w:szCs w:val="21"/>
        </w:rPr>
        <w:t>8.</w:t>
      </w:r>
      <w:r>
        <w:rPr>
          <w:rFonts w:hint="eastAsia"/>
          <w:bCs/>
          <w:szCs w:val="21"/>
        </w:rPr>
        <w:t>2</w:t>
      </w:r>
      <w:r>
        <w:rPr>
          <w:bCs/>
          <w:szCs w:val="21"/>
        </w:rPr>
        <w:t xml:space="preserve"> </w:t>
      </w:r>
      <w:r>
        <w:rPr>
          <w:rFonts w:hAnsi="宋体"/>
          <w:bCs/>
          <w:szCs w:val="21"/>
        </w:rPr>
        <w:t>咨询费用</w:t>
      </w:r>
    </w:p>
    <w:p>
      <w:pPr>
        <w:adjustRightInd w:val="0"/>
        <w:snapToGrid w:val="0"/>
        <w:spacing w:line="360" w:lineRule="auto"/>
        <w:ind w:firstLine="435"/>
        <w:rPr>
          <w:bCs/>
          <w:szCs w:val="21"/>
        </w:rPr>
      </w:pPr>
      <w:r>
        <w:rPr>
          <w:rFonts w:hAnsi="宋体"/>
          <w:bCs/>
          <w:szCs w:val="21"/>
        </w:rPr>
        <w:t>委托人应在咨询工作完成后</w:t>
      </w:r>
      <w:r>
        <w:rPr>
          <w:szCs w:val="21"/>
          <w:u w:val="single"/>
        </w:rPr>
        <w:t xml:space="preserve">  </w:t>
      </w:r>
      <w:r>
        <w:rPr>
          <w:rFonts w:hint="eastAsia"/>
          <w:szCs w:val="21"/>
          <w:u w:val="single"/>
        </w:rPr>
        <w:t>/</w:t>
      </w:r>
      <w:r>
        <w:rPr>
          <w:szCs w:val="21"/>
          <w:u w:val="single"/>
        </w:rPr>
        <w:t xml:space="preserve">  </w:t>
      </w:r>
      <w:r>
        <w:rPr>
          <w:rFonts w:hAnsi="宋体"/>
          <w:bCs/>
          <w:szCs w:val="21"/>
        </w:rPr>
        <w:t>天内支付咨询费用。</w:t>
      </w:r>
    </w:p>
    <w:p>
      <w:pPr>
        <w:adjustRightInd w:val="0"/>
        <w:snapToGrid w:val="0"/>
        <w:spacing w:line="360" w:lineRule="auto"/>
        <w:rPr>
          <w:szCs w:val="21"/>
        </w:rPr>
      </w:pPr>
      <w:r>
        <w:rPr>
          <w:szCs w:val="21"/>
        </w:rPr>
        <w:t>8.</w:t>
      </w:r>
      <w:r>
        <w:rPr>
          <w:rFonts w:hint="eastAsia"/>
          <w:szCs w:val="21"/>
        </w:rPr>
        <w:t>3</w:t>
      </w:r>
      <w:r>
        <w:rPr>
          <w:szCs w:val="21"/>
        </w:rPr>
        <w:t xml:space="preserve"> </w:t>
      </w:r>
      <w:r>
        <w:rPr>
          <w:rFonts w:hAnsi="宋体"/>
          <w:szCs w:val="21"/>
        </w:rPr>
        <w:t>奖励</w:t>
      </w:r>
    </w:p>
    <w:p>
      <w:pPr>
        <w:snapToGrid w:val="0"/>
        <w:spacing w:line="360" w:lineRule="auto"/>
        <w:ind w:firstLine="420" w:firstLineChars="200"/>
        <w:rPr>
          <w:szCs w:val="21"/>
        </w:rPr>
      </w:pPr>
      <w:r>
        <w:rPr>
          <w:rFonts w:hAnsi="宋体"/>
          <w:szCs w:val="21"/>
        </w:rPr>
        <w:t>合理化建议的奖励金额按下列方法确定为：</w:t>
      </w:r>
    </w:p>
    <w:p>
      <w:pPr>
        <w:snapToGrid w:val="0"/>
        <w:spacing w:line="360" w:lineRule="auto"/>
        <w:ind w:firstLine="420" w:firstLineChars="200"/>
        <w:rPr>
          <w:szCs w:val="21"/>
        </w:rPr>
      </w:pPr>
      <w:r>
        <w:rPr>
          <w:rFonts w:hAnsi="宋体"/>
          <w:szCs w:val="21"/>
        </w:rPr>
        <w:t>奖励金额＝工程投资节省额</w:t>
      </w:r>
      <w:r>
        <w:rPr>
          <w:szCs w:val="21"/>
        </w:rPr>
        <w:t>×</w:t>
      </w:r>
      <w:r>
        <w:rPr>
          <w:rFonts w:hAnsi="宋体"/>
          <w:szCs w:val="21"/>
        </w:rPr>
        <w:t>奖励金额的比率；</w:t>
      </w:r>
    </w:p>
    <w:p>
      <w:pPr>
        <w:snapToGrid w:val="0"/>
        <w:spacing w:line="360" w:lineRule="auto"/>
        <w:ind w:firstLine="420" w:firstLineChars="200"/>
        <w:rPr>
          <w:szCs w:val="21"/>
        </w:rPr>
      </w:pPr>
      <w:r>
        <w:rPr>
          <w:rFonts w:hAnsi="宋体"/>
          <w:szCs w:val="21"/>
        </w:rPr>
        <w:t>奖励金额的比率为</w:t>
      </w:r>
      <w:r>
        <w:rPr>
          <w:szCs w:val="21"/>
          <w:u w:val="single"/>
        </w:rPr>
        <w:t xml:space="preserve">   </w:t>
      </w:r>
      <w:r>
        <w:rPr>
          <w:rFonts w:hint="eastAsia"/>
          <w:szCs w:val="21"/>
          <w:u w:val="single"/>
        </w:rPr>
        <w:t>/</w:t>
      </w:r>
      <w:r>
        <w:rPr>
          <w:szCs w:val="21"/>
          <w:u w:val="single"/>
        </w:rPr>
        <w:t xml:space="preserve">    </w:t>
      </w:r>
      <w:r>
        <w:rPr>
          <w:szCs w:val="21"/>
        </w:rPr>
        <w:t>%</w:t>
      </w:r>
      <w:r>
        <w:rPr>
          <w:rFonts w:hAnsi="宋体"/>
          <w:szCs w:val="21"/>
        </w:rPr>
        <w:t>。</w:t>
      </w:r>
    </w:p>
    <w:p>
      <w:pPr>
        <w:adjustRightInd w:val="0"/>
        <w:snapToGrid w:val="0"/>
        <w:spacing w:line="360" w:lineRule="auto"/>
        <w:rPr>
          <w:szCs w:val="21"/>
        </w:rPr>
      </w:pPr>
      <w:r>
        <w:rPr>
          <w:szCs w:val="21"/>
        </w:rPr>
        <w:t>8.</w:t>
      </w:r>
      <w:r>
        <w:rPr>
          <w:rFonts w:hint="eastAsia"/>
          <w:szCs w:val="21"/>
        </w:rPr>
        <w:t>4</w:t>
      </w:r>
      <w:r>
        <w:rPr>
          <w:szCs w:val="21"/>
        </w:rPr>
        <w:t xml:space="preserve"> </w:t>
      </w:r>
      <w:r>
        <w:rPr>
          <w:rFonts w:hAnsi="宋体"/>
          <w:szCs w:val="21"/>
        </w:rPr>
        <w:t>保密</w:t>
      </w:r>
    </w:p>
    <w:p>
      <w:pPr>
        <w:adjustRightInd w:val="0"/>
        <w:snapToGrid w:val="0"/>
        <w:spacing w:line="360" w:lineRule="auto"/>
        <w:ind w:firstLine="420" w:firstLineChars="200"/>
        <w:rPr>
          <w:szCs w:val="21"/>
          <w:u w:val="single"/>
        </w:rPr>
      </w:pPr>
      <w:r>
        <w:rPr>
          <w:rFonts w:hAnsi="宋体"/>
          <w:szCs w:val="21"/>
        </w:rPr>
        <w:t>委托人申明的保密事项和期限：</w:t>
      </w:r>
      <w:r>
        <w:rPr>
          <w:szCs w:val="21"/>
          <w:u w:val="single"/>
        </w:rPr>
        <w:t xml:space="preserve">           </w:t>
      </w:r>
      <w:r>
        <w:rPr>
          <w:rFonts w:hint="eastAsia"/>
          <w:szCs w:val="21"/>
          <w:u w:val="single"/>
        </w:rPr>
        <w:t>永久</w:t>
      </w:r>
      <w:r>
        <w:rPr>
          <w:szCs w:val="21"/>
          <w:u w:val="single"/>
        </w:rPr>
        <w:t xml:space="preserve">           </w:t>
      </w:r>
      <w:r>
        <w:rPr>
          <w:rFonts w:hAnsi="宋体"/>
          <w:szCs w:val="21"/>
        </w:rPr>
        <w:t>。</w:t>
      </w:r>
    </w:p>
    <w:p>
      <w:pPr>
        <w:adjustRightInd w:val="0"/>
        <w:snapToGrid w:val="0"/>
        <w:spacing w:line="360" w:lineRule="auto"/>
        <w:ind w:firstLine="420" w:firstLineChars="200"/>
        <w:rPr>
          <w:szCs w:val="21"/>
          <w:u w:val="single"/>
        </w:rPr>
      </w:pPr>
      <w:r>
        <w:rPr>
          <w:rFonts w:hAnsi="宋体"/>
          <w:szCs w:val="21"/>
        </w:rPr>
        <w:t>监理人申明的保密事项和期限：</w:t>
      </w:r>
      <w:r>
        <w:rPr>
          <w:szCs w:val="21"/>
          <w:u w:val="single"/>
        </w:rPr>
        <w:t xml:space="preserve">           </w:t>
      </w:r>
      <w:r>
        <w:rPr>
          <w:rFonts w:hint="eastAsia"/>
          <w:szCs w:val="21"/>
          <w:u w:val="single"/>
        </w:rPr>
        <w:t>永久</w:t>
      </w:r>
      <w:r>
        <w:rPr>
          <w:szCs w:val="21"/>
          <w:u w:val="single"/>
        </w:rPr>
        <w:t xml:space="preserve">          </w:t>
      </w:r>
      <w:r>
        <w:rPr>
          <w:rFonts w:hAnsi="宋体"/>
          <w:szCs w:val="21"/>
        </w:rPr>
        <w:t>。</w:t>
      </w:r>
    </w:p>
    <w:p>
      <w:pPr>
        <w:adjustRightInd w:val="0"/>
        <w:snapToGrid w:val="0"/>
        <w:spacing w:line="360" w:lineRule="auto"/>
        <w:ind w:firstLine="420" w:firstLineChars="200"/>
        <w:rPr>
          <w:szCs w:val="21"/>
          <w:u w:val="single"/>
        </w:rPr>
      </w:pPr>
      <w:r>
        <w:rPr>
          <w:rFonts w:hAnsi="宋体"/>
          <w:szCs w:val="21"/>
        </w:rPr>
        <w:t>第三方申明的保密事项和期限：</w:t>
      </w:r>
      <w:r>
        <w:rPr>
          <w:szCs w:val="21"/>
          <w:u w:val="single"/>
        </w:rPr>
        <w:t xml:space="preserve">           </w:t>
      </w:r>
      <w:r>
        <w:rPr>
          <w:rFonts w:hint="eastAsia"/>
          <w:szCs w:val="21"/>
          <w:u w:val="single"/>
        </w:rPr>
        <w:t>永久</w:t>
      </w:r>
      <w:r>
        <w:rPr>
          <w:szCs w:val="21"/>
          <w:u w:val="single"/>
        </w:rPr>
        <w:t xml:space="preserve">          </w:t>
      </w:r>
      <w:r>
        <w:rPr>
          <w:rFonts w:hAnsi="宋体"/>
          <w:szCs w:val="21"/>
        </w:rPr>
        <w:t>。</w:t>
      </w:r>
    </w:p>
    <w:p>
      <w:pPr>
        <w:snapToGrid w:val="0"/>
        <w:spacing w:line="360" w:lineRule="auto"/>
        <w:rPr>
          <w:bCs/>
          <w:szCs w:val="21"/>
        </w:rPr>
      </w:pPr>
      <w:r>
        <w:rPr>
          <w:szCs w:val="21"/>
        </w:rPr>
        <w:t>8.</w:t>
      </w:r>
      <w:r>
        <w:rPr>
          <w:rFonts w:hint="eastAsia"/>
          <w:szCs w:val="21"/>
        </w:rPr>
        <w:t>5</w:t>
      </w:r>
      <w:r>
        <w:rPr>
          <w:rFonts w:hAnsi="宋体"/>
          <w:bCs/>
          <w:szCs w:val="21"/>
        </w:rPr>
        <w:t>著作权</w:t>
      </w:r>
    </w:p>
    <w:p>
      <w:pPr>
        <w:snapToGrid w:val="0"/>
        <w:spacing w:line="360" w:lineRule="auto"/>
        <w:ind w:firstLine="420" w:firstLineChars="200"/>
        <w:rPr>
          <w:rFonts w:hAnsi="宋体"/>
          <w:szCs w:val="21"/>
        </w:rPr>
      </w:pPr>
      <w:r>
        <w:rPr>
          <w:rFonts w:hAnsi="宋体"/>
          <w:szCs w:val="21"/>
        </w:rPr>
        <w:t>监理人在本合同履行期间及本合同终止后两年内出版涉及本工程的有关监理与相关服务的资料的限制条件：</w:t>
      </w:r>
    </w:p>
    <w:p>
      <w:pPr>
        <w:snapToGrid w:val="0"/>
        <w:spacing w:line="360" w:lineRule="auto"/>
        <w:ind w:firstLine="420" w:firstLineChars="200"/>
        <w:rPr>
          <w:szCs w:val="21"/>
        </w:rPr>
      </w:pPr>
      <w:r>
        <w:rPr>
          <w:szCs w:val="21"/>
          <w:u w:val="single"/>
        </w:rPr>
        <w:t xml:space="preserve">                            </w:t>
      </w:r>
      <w:r>
        <w:rPr>
          <w:rFonts w:hint="eastAsia"/>
          <w:szCs w:val="21"/>
          <w:u w:val="single"/>
        </w:rPr>
        <w:t>/</w:t>
      </w:r>
      <w:r>
        <w:rPr>
          <w:szCs w:val="21"/>
          <w:u w:val="single"/>
        </w:rPr>
        <w:t xml:space="preserve">                                        </w:t>
      </w:r>
      <w:r>
        <w:rPr>
          <w:rFonts w:hAnsi="宋体"/>
          <w:szCs w:val="21"/>
        </w:rPr>
        <w:t>。</w:t>
      </w:r>
    </w:p>
    <w:p>
      <w:pPr>
        <w:pStyle w:val="4"/>
        <w:rPr>
          <w:u w:val="single"/>
        </w:rPr>
      </w:pPr>
      <w:bookmarkStart w:id="84" w:name="_Toc20323424"/>
      <w:bookmarkStart w:id="85" w:name="_Toc459567823"/>
      <w:r>
        <w:t xml:space="preserve">9. </w:t>
      </w:r>
      <w:r>
        <w:rPr>
          <w:rFonts w:hAnsi="宋体"/>
        </w:rPr>
        <w:t>补充条款</w:t>
      </w:r>
      <w:bookmarkEnd w:id="84"/>
      <w:bookmarkEnd w:id="85"/>
    </w:p>
    <w:p>
      <w:pPr>
        <w:adjustRightInd w:val="0"/>
        <w:snapToGrid w:val="0"/>
        <w:spacing w:line="360" w:lineRule="auto"/>
        <w:rPr>
          <w:szCs w:val="21"/>
        </w:rPr>
      </w:pPr>
      <w:r>
        <w:rPr>
          <w:szCs w:val="21"/>
        </w:rPr>
        <w:t>9.1</w:t>
      </w:r>
      <w:r>
        <w:rPr>
          <w:rFonts w:hAnsi="宋体"/>
          <w:szCs w:val="21"/>
          <w:u w:val="single"/>
        </w:rPr>
        <w:t>委托人应向监理人无偿提供开展监理服务工作所必需的办公用房、生活用房</w:t>
      </w:r>
      <w:r>
        <w:rPr>
          <w:szCs w:val="21"/>
          <w:u w:val="single"/>
        </w:rPr>
        <w:t xml:space="preserve">  </w:t>
      </w:r>
      <w:r>
        <w:rPr>
          <w:rFonts w:hAnsi="宋体"/>
          <w:szCs w:val="21"/>
        </w:rPr>
        <w:t>。</w:t>
      </w:r>
    </w:p>
    <w:p>
      <w:pPr>
        <w:adjustRightInd w:val="0"/>
        <w:snapToGrid w:val="0"/>
        <w:spacing w:line="360" w:lineRule="auto"/>
        <w:ind w:firstLine="240" w:firstLineChars="100"/>
        <w:rPr>
          <w:sz w:val="24"/>
        </w:rPr>
        <w:sectPr>
          <w:pgSz w:w="11907" w:h="16840"/>
          <w:pgMar w:top="1440" w:right="1440" w:bottom="1440" w:left="1797" w:header="567" w:footer="591" w:gutter="0"/>
          <w:cols w:space="720" w:num="1"/>
          <w:docGrid w:linePitch="312" w:charSpace="0"/>
        </w:sectPr>
      </w:pPr>
    </w:p>
    <w:p>
      <w:pPr>
        <w:pStyle w:val="4"/>
        <w:jc w:val="center"/>
        <w:rPr>
          <w:sz w:val="24"/>
        </w:rPr>
      </w:pPr>
      <w:bookmarkStart w:id="86" w:name="_Toc459567824"/>
      <w:bookmarkStart w:id="87" w:name="_Toc20323425"/>
      <w:r>
        <w:rPr>
          <w:rFonts w:hint="eastAsia"/>
          <w:sz w:val="24"/>
        </w:rPr>
        <w:t>附录A  相关服务的范围和内容</w:t>
      </w:r>
      <w:bookmarkEnd w:id="86"/>
      <w:bookmarkEnd w:id="87"/>
    </w:p>
    <w:p>
      <w:pPr>
        <w:snapToGrid w:val="0"/>
        <w:spacing w:beforeLines="50" w:afterLines="50" w:line="360" w:lineRule="auto"/>
        <w:ind w:firstLine="840" w:firstLineChars="400"/>
        <w:rPr>
          <w:rFonts w:ascii="宋体" w:hAnsi="宋体"/>
          <w:kern w:val="0"/>
          <w:szCs w:val="21"/>
        </w:rPr>
      </w:pPr>
      <w:r>
        <w:rPr>
          <w:rFonts w:hint="eastAsia" w:ascii="宋体" w:hAnsi="宋体"/>
          <w:kern w:val="0"/>
          <w:szCs w:val="21"/>
        </w:rPr>
        <w:t>A-1 勘察阶段：</w:t>
      </w:r>
      <w:r>
        <w:rPr>
          <w:rFonts w:hint="eastAsia" w:ascii="宋体" w:hAnsi="宋体"/>
          <w:szCs w:val="21"/>
          <w:u w:val="single"/>
        </w:rPr>
        <w:t xml:space="preserve">                                                             </w:t>
      </w:r>
    </w:p>
    <w:p>
      <w:pPr>
        <w:snapToGrid w:val="0"/>
        <w:spacing w:beforeLines="50" w:afterLines="50" w:line="360" w:lineRule="auto"/>
        <w:rPr>
          <w:rFonts w:ascii="宋体" w:hAnsi="宋体"/>
          <w:szCs w:val="21"/>
        </w:rPr>
      </w:pPr>
      <w:r>
        <w:rPr>
          <w:rFonts w:hint="eastAsia" w:ascii="宋体" w:hAnsi="宋体"/>
          <w:kern w:val="0"/>
          <w:szCs w:val="21"/>
          <w:u w:val="single"/>
        </w:rPr>
        <w:t xml:space="preserve">                                              </w:t>
      </w:r>
      <w:r>
        <w:rPr>
          <w:rFonts w:hint="eastAsia" w:ascii="宋体" w:hAnsi="宋体"/>
          <w:kern w:val="0"/>
          <w:szCs w:val="21"/>
        </w:rPr>
        <w:t>。</w:t>
      </w:r>
    </w:p>
    <w:p>
      <w:pPr>
        <w:snapToGrid w:val="0"/>
        <w:spacing w:beforeLines="50" w:afterLines="50" w:line="360" w:lineRule="auto"/>
        <w:ind w:firstLine="840" w:firstLineChars="400"/>
        <w:rPr>
          <w:rFonts w:ascii="宋体" w:hAnsi="宋体"/>
          <w:kern w:val="0"/>
          <w:szCs w:val="21"/>
        </w:rPr>
      </w:pPr>
      <w:r>
        <w:rPr>
          <w:rFonts w:hint="eastAsia" w:ascii="宋体" w:hAnsi="宋体"/>
          <w:kern w:val="0"/>
          <w:szCs w:val="21"/>
        </w:rPr>
        <w:t>A-2 设计阶段：</w:t>
      </w:r>
      <w:r>
        <w:rPr>
          <w:rFonts w:hint="eastAsia" w:ascii="宋体" w:hAnsi="宋体"/>
          <w:szCs w:val="21"/>
          <w:u w:val="single"/>
        </w:rPr>
        <w:t xml:space="preserve">                                                             </w:t>
      </w:r>
    </w:p>
    <w:p>
      <w:pPr>
        <w:snapToGrid w:val="0"/>
        <w:spacing w:beforeLines="50" w:afterLines="50" w:line="360" w:lineRule="auto"/>
        <w:rPr>
          <w:rFonts w:ascii="宋体" w:hAnsi="宋体"/>
          <w:szCs w:val="21"/>
        </w:rPr>
      </w:pPr>
      <w:r>
        <w:rPr>
          <w:rFonts w:hint="eastAsia" w:ascii="宋体" w:hAnsi="宋体"/>
          <w:szCs w:val="21"/>
          <w:u w:val="single"/>
        </w:rPr>
        <w:t xml:space="preserve">                                              </w:t>
      </w:r>
      <w:r>
        <w:rPr>
          <w:rFonts w:hint="eastAsia" w:ascii="宋体" w:hAnsi="宋体"/>
          <w:szCs w:val="21"/>
        </w:rPr>
        <w:t>。</w:t>
      </w:r>
    </w:p>
    <w:p>
      <w:pPr>
        <w:snapToGrid w:val="0"/>
        <w:spacing w:beforeLines="50" w:afterLines="50" w:line="360" w:lineRule="auto"/>
        <w:ind w:firstLine="840" w:firstLineChars="400"/>
        <w:rPr>
          <w:rFonts w:ascii="宋体" w:hAnsi="宋体"/>
          <w:kern w:val="0"/>
          <w:szCs w:val="21"/>
        </w:rPr>
      </w:pPr>
      <w:r>
        <w:rPr>
          <w:rFonts w:hint="eastAsia" w:ascii="宋体" w:hAnsi="宋体"/>
          <w:kern w:val="0"/>
          <w:szCs w:val="21"/>
        </w:rPr>
        <w:t>A-3 保修阶段：</w:t>
      </w:r>
      <w:r>
        <w:rPr>
          <w:rFonts w:hint="eastAsia" w:ascii="宋体" w:hAnsi="宋体"/>
          <w:szCs w:val="21"/>
          <w:u w:val="single"/>
        </w:rPr>
        <w:t xml:space="preserve">                                                             </w:t>
      </w:r>
    </w:p>
    <w:p>
      <w:pPr>
        <w:snapToGrid w:val="0"/>
        <w:spacing w:beforeLines="50" w:afterLines="50" w:line="360" w:lineRule="auto"/>
        <w:rPr>
          <w:rFonts w:ascii="宋体" w:hAnsi="宋体"/>
          <w:szCs w:val="21"/>
        </w:rPr>
      </w:pPr>
      <w:r>
        <w:rPr>
          <w:rFonts w:hint="eastAsia" w:ascii="宋体" w:hAnsi="宋体"/>
          <w:szCs w:val="21"/>
          <w:u w:val="single"/>
        </w:rPr>
        <w:t xml:space="preserve">                                              </w:t>
      </w:r>
      <w:r>
        <w:rPr>
          <w:rFonts w:hint="eastAsia" w:ascii="宋体" w:hAnsi="宋体"/>
          <w:szCs w:val="21"/>
        </w:rPr>
        <w:t>。</w:t>
      </w:r>
    </w:p>
    <w:p>
      <w:pPr>
        <w:snapToGrid w:val="0"/>
        <w:spacing w:beforeLines="50" w:afterLines="50" w:line="360" w:lineRule="auto"/>
        <w:ind w:firstLine="840" w:firstLineChars="400"/>
        <w:rPr>
          <w:rFonts w:ascii="宋体" w:hAnsi="宋体"/>
          <w:szCs w:val="21"/>
          <w:u w:val="single"/>
        </w:rPr>
      </w:pPr>
      <w:r>
        <w:rPr>
          <w:rFonts w:hint="eastAsia" w:ascii="宋体" w:hAnsi="宋体"/>
          <w:kern w:val="0"/>
          <w:szCs w:val="21"/>
        </w:rPr>
        <w:t xml:space="preserve">A-4 </w:t>
      </w:r>
      <w:r>
        <w:rPr>
          <w:rFonts w:hint="eastAsia" w:ascii="宋体" w:hAnsi="宋体"/>
          <w:szCs w:val="21"/>
        </w:rPr>
        <w:t>其他（专业技术咨询、外部协调工作等）：</w:t>
      </w:r>
      <w:r>
        <w:rPr>
          <w:rFonts w:hint="eastAsia" w:ascii="宋体" w:hAnsi="宋体"/>
          <w:szCs w:val="21"/>
          <w:u w:val="single"/>
        </w:rPr>
        <w:t xml:space="preserve">                                  </w:t>
      </w:r>
    </w:p>
    <w:p>
      <w:pPr>
        <w:snapToGrid w:val="0"/>
        <w:spacing w:beforeLines="50" w:afterLines="50" w:line="360" w:lineRule="auto"/>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line="360" w:lineRule="auto"/>
        <w:rPr>
          <w:rFonts w:ascii="宋体" w:hAnsi="宋体"/>
          <w:bCs/>
          <w:sz w:val="24"/>
        </w:rPr>
      </w:pPr>
    </w:p>
    <w:p>
      <w:pPr>
        <w:pStyle w:val="4"/>
        <w:jc w:val="center"/>
        <w:rPr>
          <w:sz w:val="24"/>
        </w:rPr>
      </w:pPr>
      <w:bookmarkStart w:id="88" w:name="_Toc459567825"/>
      <w:bookmarkStart w:id="89" w:name="_Toc20323426"/>
      <w:r>
        <w:rPr>
          <w:rFonts w:hint="eastAsia"/>
          <w:sz w:val="24"/>
        </w:rPr>
        <w:t>附录B  委托人派遣的人员和提供的房屋、资料、设备</w:t>
      </w:r>
      <w:bookmarkEnd w:id="88"/>
      <w:bookmarkEnd w:id="89"/>
    </w:p>
    <w:p>
      <w:pPr>
        <w:spacing w:beforeLines="50" w:afterLines="50" w:line="360" w:lineRule="auto"/>
        <w:outlineLvl w:val="0"/>
        <w:rPr>
          <w:rFonts w:ascii="宋体" w:hAnsi="宋体"/>
          <w:b/>
          <w:kern w:val="0"/>
          <w:szCs w:val="21"/>
        </w:rPr>
      </w:pPr>
      <w:bookmarkStart w:id="90" w:name="_Toc459567826"/>
      <w:bookmarkStart w:id="91" w:name="_Toc20323427"/>
      <w:r>
        <w:rPr>
          <w:rFonts w:hint="eastAsia" w:ascii="宋体" w:hAnsi="宋体"/>
          <w:b/>
          <w:kern w:val="0"/>
          <w:szCs w:val="21"/>
        </w:rPr>
        <w:t>B-1  委托人派遣的人员</w:t>
      </w:r>
      <w:bookmarkEnd w:id="90"/>
      <w:bookmarkEnd w:id="9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jc w:val="center"/>
              <w:rPr>
                <w:rFonts w:ascii="宋体" w:hAnsi="宋体"/>
                <w:szCs w:val="21"/>
              </w:rPr>
            </w:pPr>
            <w:r>
              <w:rPr>
                <w:rFonts w:hint="eastAsia" w:ascii="宋体" w:hAnsi="宋体"/>
                <w:szCs w:val="21"/>
              </w:rPr>
              <w:t>名称</w:t>
            </w:r>
          </w:p>
        </w:tc>
        <w:tc>
          <w:tcPr>
            <w:tcW w:w="1770" w:type="dxa"/>
          </w:tcPr>
          <w:p>
            <w:pPr>
              <w:spacing w:line="360" w:lineRule="auto"/>
              <w:jc w:val="center"/>
              <w:rPr>
                <w:rFonts w:ascii="宋体" w:hAnsi="宋体"/>
                <w:szCs w:val="21"/>
              </w:rPr>
            </w:pPr>
            <w:r>
              <w:rPr>
                <w:rFonts w:hint="eastAsia" w:ascii="宋体" w:hAnsi="宋体"/>
                <w:szCs w:val="21"/>
              </w:rPr>
              <w:t>数量</w:t>
            </w:r>
          </w:p>
        </w:tc>
        <w:tc>
          <w:tcPr>
            <w:tcW w:w="2130" w:type="dxa"/>
          </w:tcPr>
          <w:p>
            <w:pPr>
              <w:spacing w:line="360" w:lineRule="auto"/>
              <w:jc w:val="center"/>
              <w:rPr>
                <w:rFonts w:ascii="宋体" w:hAnsi="宋体"/>
                <w:szCs w:val="21"/>
              </w:rPr>
            </w:pPr>
            <w:r>
              <w:rPr>
                <w:rFonts w:hint="eastAsia" w:ascii="宋体" w:hAnsi="宋体"/>
                <w:szCs w:val="21"/>
              </w:rPr>
              <w:t>工作要求</w:t>
            </w:r>
          </w:p>
        </w:tc>
        <w:tc>
          <w:tcPr>
            <w:tcW w:w="1860" w:type="dxa"/>
          </w:tcPr>
          <w:p>
            <w:pPr>
              <w:spacing w:line="360" w:lineRule="auto"/>
              <w:jc w:val="center"/>
              <w:rPr>
                <w:rFonts w:ascii="宋体" w:hAnsi="宋体"/>
                <w:szCs w:val="21"/>
              </w:rPr>
            </w:pPr>
            <w:r>
              <w:rPr>
                <w:rFonts w:hint="eastAsia" w:ascii="宋体" w:hAnsi="宋体"/>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宋体" w:hAnsi="宋体"/>
                <w:szCs w:val="21"/>
              </w:rPr>
            </w:pPr>
            <w:r>
              <w:rPr>
                <w:rFonts w:hint="eastAsia" w:ascii="宋体" w:hAnsi="宋体"/>
                <w:szCs w:val="21"/>
              </w:rPr>
              <w:t>1. 工程技术人员</w:t>
            </w:r>
          </w:p>
        </w:tc>
        <w:tc>
          <w:tcPr>
            <w:tcW w:w="1770" w:type="dxa"/>
          </w:tcPr>
          <w:p>
            <w:pPr>
              <w:spacing w:line="360" w:lineRule="auto"/>
              <w:rPr>
                <w:rFonts w:ascii="宋体" w:hAnsi="宋体"/>
                <w:szCs w:val="21"/>
              </w:rPr>
            </w:pPr>
          </w:p>
        </w:tc>
        <w:tc>
          <w:tcPr>
            <w:tcW w:w="2130" w:type="dxa"/>
          </w:tcPr>
          <w:p>
            <w:pPr>
              <w:spacing w:line="360" w:lineRule="auto"/>
              <w:rPr>
                <w:rFonts w:ascii="宋体" w:hAnsi="宋体"/>
                <w:szCs w:val="21"/>
              </w:rPr>
            </w:pPr>
          </w:p>
        </w:tc>
        <w:tc>
          <w:tcPr>
            <w:tcW w:w="18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宋体" w:hAnsi="宋体"/>
                <w:szCs w:val="21"/>
              </w:rPr>
            </w:pPr>
            <w:r>
              <w:rPr>
                <w:rFonts w:hint="eastAsia" w:ascii="宋体" w:hAnsi="宋体"/>
                <w:szCs w:val="21"/>
              </w:rPr>
              <w:t>2. 辅助工作人员</w:t>
            </w:r>
          </w:p>
        </w:tc>
        <w:tc>
          <w:tcPr>
            <w:tcW w:w="1770" w:type="dxa"/>
          </w:tcPr>
          <w:p>
            <w:pPr>
              <w:spacing w:line="360" w:lineRule="auto"/>
              <w:rPr>
                <w:rFonts w:ascii="宋体" w:hAnsi="宋体"/>
                <w:szCs w:val="21"/>
              </w:rPr>
            </w:pPr>
          </w:p>
        </w:tc>
        <w:tc>
          <w:tcPr>
            <w:tcW w:w="2130" w:type="dxa"/>
          </w:tcPr>
          <w:p>
            <w:pPr>
              <w:spacing w:line="360" w:lineRule="auto"/>
              <w:rPr>
                <w:rFonts w:ascii="宋体" w:hAnsi="宋体"/>
                <w:szCs w:val="21"/>
              </w:rPr>
            </w:pPr>
          </w:p>
        </w:tc>
        <w:tc>
          <w:tcPr>
            <w:tcW w:w="18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宋体" w:hAnsi="宋体"/>
                <w:szCs w:val="21"/>
              </w:rPr>
            </w:pPr>
            <w:r>
              <w:rPr>
                <w:rFonts w:hint="eastAsia" w:ascii="宋体" w:hAnsi="宋体"/>
                <w:szCs w:val="21"/>
              </w:rPr>
              <w:t>3. 其他人员</w:t>
            </w:r>
          </w:p>
        </w:tc>
        <w:tc>
          <w:tcPr>
            <w:tcW w:w="1770" w:type="dxa"/>
          </w:tcPr>
          <w:p>
            <w:pPr>
              <w:spacing w:line="360" w:lineRule="auto"/>
              <w:rPr>
                <w:rFonts w:ascii="宋体" w:hAnsi="宋体"/>
                <w:szCs w:val="21"/>
              </w:rPr>
            </w:pPr>
          </w:p>
        </w:tc>
        <w:tc>
          <w:tcPr>
            <w:tcW w:w="2130" w:type="dxa"/>
          </w:tcPr>
          <w:p>
            <w:pPr>
              <w:spacing w:line="360" w:lineRule="auto"/>
              <w:rPr>
                <w:rFonts w:ascii="宋体" w:hAnsi="宋体"/>
                <w:szCs w:val="21"/>
              </w:rPr>
            </w:pPr>
          </w:p>
        </w:tc>
        <w:tc>
          <w:tcPr>
            <w:tcW w:w="18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宋体" w:hAnsi="宋体"/>
                <w:szCs w:val="21"/>
              </w:rPr>
            </w:pPr>
          </w:p>
        </w:tc>
        <w:tc>
          <w:tcPr>
            <w:tcW w:w="1770" w:type="dxa"/>
          </w:tcPr>
          <w:p>
            <w:pPr>
              <w:spacing w:line="360" w:lineRule="auto"/>
              <w:rPr>
                <w:rFonts w:ascii="宋体" w:hAnsi="宋体"/>
                <w:szCs w:val="21"/>
              </w:rPr>
            </w:pPr>
          </w:p>
        </w:tc>
        <w:tc>
          <w:tcPr>
            <w:tcW w:w="2130" w:type="dxa"/>
          </w:tcPr>
          <w:p>
            <w:pPr>
              <w:spacing w:line="360" w:lineRule="auto"/>
              <w:rPr>
                <w:rFonts w:ascii="宋体" w:hAnsi="宋体"/>
                <w:szCs w:val="21"/>
              </w:rPr>
            </w:pPr>
          </w:p>
        </w:tc>
        <w:tc>
          <w:tcPr>
            <w:tcW w:w="1860" w:type="dxa"/>
          </w:tcPr>
          <w:p>
            <w:pPr>
              <w:spacing w:line="360" w:lineRule="auto"/>
              <w:rPr>
                <w:rFonts w:ascii="宋体" w:hAnsi="宋体"/>
                <w:szCs w:val="21"/>
              </w:rPr>
            </w:pPr>
          </w:p>
        </w:tc>
      </w:tr>
    </w:tbl>
    <w:p>
      <w:bookmarkStart w:id="92" w:name="_Toc392940993"/>
    </w:p>
    <w:p>
      <w:pPr>
        <w:spacing w:afterLines="100"/>
        <w:outlineLvl w:val="0"/>
        <w:rPr>
          <w:b/>
        </w:rPr>
      </w:pPr>
      <w:bookmarkStart w:id="93" w:name="_Toc20323428"/>
      <w:bookmarkStart w:id="94" w:name="_Toc459567827"/>
      <w:r>
        <w:rPr>
          <w:rFonts w:hint="eastAsia"/>
          <w:b/>
        </w:rPr>
        <w:t>B-2  委托人提供的房屋</w:t>
      </w:r>
      <w:bookmarkEnd w:id="92"/>
      <w:bookmarkEnd w:id="93"/>
      <w:bookmarkEnd w:id="94"/>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jc w:val="center"/>
              <w:rPr>
                <w:rFonts w:ascii="宋体" w:hAnsi="宋体"/>
                <w:szCs w:val="21"/>
              </w:rPr>
            </w:pPr>
            <w:r>
              <w:rPr>
                <w:rFonts w:hint="eastAsia" w:ascii="宋体" w:hAnsi="宋体"/>
                <w:szCs w:val="21"/>
              </w:rPr>
              <w:t>名称</w:t>
            </w:r>
          </w:p>
        </w:tc>
        <w:tc>
          <w:tcPr>
            <w:tcW w:w="2130" w:type="dxa"/>
          </w:tcPr>
          <w:p>
            <w:pPr>
              <w:spacing w:line="360" w:lineRule="auto"/>
              <w:jc w:val="center"/>
              <w:rPr>
                <w:rFonts w:ascii="宋体" w:hAnsi="宋体"/>
                <w:szCs w:val="21"/>
              </w:rPr>
            </w:pPr>
            <w:r>
              <w:rPr>
                <w:rFonts w:hint="eastAsia" w:ascii="宋体" w:hAnsi="宋体"/>
                <w:szCs w:val="21"/>
              </w:rPr>
              <w:t>数量</w:t>
            </w:r>
          </w:p>
        </w:tc>
        <w:tc>
          <w:tcPr>
            <w:tcW w:w="2130" w:type="dxa"/>
          </w:tcPr>
          <w:p>
            <w:pPr>
              <w:spacing w:line="360" w:lineRule="auto"/>
              <w:jc w:val="center"/>
              <w:rPr>
                <w:rFonts w:ascii="宋体" w:hAnsi="宋体"/>
                <w:szCs w:val="21"/>
              </w:rPr>
            </w:pPr>
            <w:r>
              <w:rPr>
                <w:rFonts w:hint="eastAsia" w:ascii="宋体" w:hAnsi="宋体"/>
                <w:szCs w:val="21"/>
              </w:rPr>
              <w:t>面积</w:t>
            </w:r>
          </w:p>
        </w:tc>
        <w:tc>
          <w:tcPr>
            <w:tcW w:w="1860" w:type="dxa"/>
          </w:tcPr>
          <w:p>
            <w:pPr>
              <w:spacing w:line="360" w:lineRule="auto"/>
              <w:jc w:val="center"/>
              <w:rPr>
                <w:rFonts w:ascii="宋体" w:hAnsi="宋体"/>
                <w:szCs w:val="21"/>
              </w:rPr>
            </w:pPr>
            <w:r>
              <w:rPr>
                <w:rFonts w:hint="eastAsia" w:ascii="宋体" w:hAnsi="宋体"/>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szCs w:val="21"/>
              </w:rPr>
            </w:pPr>
            <w:r>
              <w:rPr>
                <w:rFonts w:hint="eastAsia" w:ascii="宋体" w:hAnsi="宋体"/>
                <w:szCs w:val="21"/>
              </w:rPr>
              <w:t>1. 办公用房</w:t>
            </w:r>
          </w:p>
        </w:tc>
        <w:tc>
          <w:tcPr>
            <w:tcW w:w="2130" w:type="dxa"/>
          </w:tcPr>
          <w:p>
            <w:pPr>
              <w:spacing w:line="360" w:lineRule="auto"/>
              <w:ind w:firstLine="210" w:firstLineChars="100"/>
              <w:rPr>
                <w:rFonts w:ascii="宋体" w:hAnsi="宋体"/>
                <w:szCs w:val="21"/>
              </w:rPr>
            </w:pPr>
            <w:r>
              <w:rPr>
                <w:rFonts w:hint="eastAsia" w:ascii="宋体" w:hAnsi="宋体"/>
                <w:szCs w:val="21"/>
              </w:rPr>
              <w:t xml:space="preserve"> </w:t>
            </w:r>
          </w:p>
        </w:tc>
        <w:tc>
          <w:tcPr>
            <w:tcW w:w="2130" w:type="dxa"/>
          </w:tcPr>
          <w:p>
            <w:pPr>
              <w:spacing w:line="360" w:lineRule="auto"/>
              <w:ind w:firstLine="210" w:firstLineChars="100"/>
              <w:rPr>
                <w:rFonts w:ascii="宋体" w:hAnsi="宋体"/>
                <w:szCs w:val="21"/>
              </w:rPr>
            </w:pPr>
            <w:r>
              <w:rPr>
                <w:rFonts w:hint="eastAsia" w:ascii="宋体" w:hAnsi="宋体"/>
                <w:szCs w:val="21"/>
              </w:rPr>
              <w:t xml:space="preserve"> </w:t>
            </w:r>
          </w:p>
        </w:tc>
        <w:tc>
          <w:tcPr>
            <w:tcW w:w="18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szCs w:val="21"/>
              </w:rPr>
            </w:pPr>
            <w:r>
              <w:rPr>
                <w:rFonts w:hint="eastAsia" w:ascii="宋体" w:hAnsi="宋体"/>
                <w:szCs w:val="21"/>
              </w:rPr>
              <w:t>2. 生活用房</w:t>
            </w:r>
          </w:p>
        </w:tc>
        <w:tc>
          <w:tcPr>
            <w:tcW w:w="2130" w:type="dxa"/>
          </w:tcPr>
          <w:p>
            <w:pPr>
              <w:spacing w:line="360" w:lineRule="auto"/>
              <w:rPr>
                <w:rFonts w:ascii="宋体" w:hAnsi="宋体"/>
                <w:szCs w:val="21"/>
              </w:rPr>
            </w:pPr>
          </w:p>
        </w:tc>
        <w:tc>
          <w:tcPr>
            <w:tcW w:w="2130" w:type="dxa"/>
          </w:tcPr>
          <w:p>
            <w:pPr>
              <w:spacing w:line="360" w:lineRule="auto"/>
              <w:rPr>
                <w:rFonts w:ascii="宋体" w:hAnsi="宋体"/>
                <w:szCs w:val="21"/>
              </w:rPr>
            </w:pPr>
          </w:p>
        </w:tc>
        <w:tc>
          <w:tcPr>
            <w:tcW w:w="18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dstrike/>
                <w:szCs w:val="21"/>
              </w:rPr>
            </w:pPr>
            <w:r>
              <w:rPr>
                <w:rFonts w:hint="eastAsia" w:ascii="宋体" w:hAnsi="宋体"/>
                <w:szCs w:val="21"/>
              </w:rPr>
              <w:t>3. 试验用房</w:t>
            </w:r>
          </w:p>
        </w:tc>
        <w:tc>
          <w:tcPr>
            <w:tcW w:w="2130" w:type="dxa"/>
          </w:tcPr>
          <w:p>
            <w:pPr>
              <w:spacing w:line="360" w:lineRule="auto"/>
              <w:rPr>
                <w:rFonts w:ascii="宋体" w:hAnsi="宋体"/>
                <w:szCs w:val="21"/>
              </w:rPr>
            </w:pPr>
          </w:p>
        </w:tc>
        <w:tc>
          <w:tcPr>
            <w:tcW w:w="2130" w:type="dxa"/>
          </w:tcPr>
          <w:p>
            <w:pPr>
              <w:spacing w:line="360" w:lineRule="auto"/>
              <w:rPr>
                <w:rFonts w:ascii="宋体" w:hAnsi="宋体"/>
                <w:szCs w:val="21"/>
              </w:rPr>
            </w:pPr>
          </w:p>
        </w:tc>
        <w:tc>
          <w:tcPr>
            <w:tcW w:w="18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szCs w:val="21"/>
              </w:rPr>
            </w:pPr>
            <w:r>
              <w:rPr>
                <w:rFonts w:hint="eastAsia" w:ascii="宋体" w:hAnsi="宋体"/>
                <w:szCs w:val="21"/>
              </w:rPr>
              <w:t>4. 样品用房</w:t>
            </w:r>
          </w:p>
        </w:tc>
        <w:tc>
          <w:tcPr>
            <w:tcW w:w="2130" w:type="dxa"/>
          </w:tcPr>
          <w:p>
            <w:pPr>
              <w:spacing w:line="360" w:lineRule="auto"/>
              <w:rPr>
                <w:rFonts w:ascii="宋体" w:hAnsi="宋体"/>
                <w:szCs w:val="21"/>
              </w:rPr>
            </w:pPr>
          </w:p>
        </w:tc>
        <w:tc>
          <w:tcPr>
            <w:tcW w:w="2130" w:type="dxa"/>
          </w:tcPr>
          <w:p>
            <w:pPr>
              <w:spacing w:line="360" w:lineRule="auto"/>
              <w:rPr>
                <w:rFonts w:ascii="宋体" w:hAnsi="宋体"/>
                <w:szCs w:val="21"/>
              </w:rPr>
            </w:pPr>
          </w:p>
        </w:tc>
        <w:tc>
          <w:tcPr>
            <w:tcW w:w="18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szCs w:val="21"/>
              </w:rPr>
            </w:pPr>
          </w:p>
        </w:tc>
        <w:tc>
          <w:tcPr>
            <w:tcW w:w="2130" w:type="dxa"/>
          </w:tcPr>
          <w:p>
            <w:pPr>
              <w:spacing w:line="360" w:lineRule="auto"/>
              <w:rPr>
                <w:rFonts w:ascii="宋体" w:hAnsi="宋体"/>
                <w:szCs w:val="21"/>
              </w:rPr>
            </w:pPr>
          </w:p>
        </w:tc>
        <w:tc>
          <w:tcPr>
            <w:tcW w:w="2130" w:type="dxa"/>
          </w:tcPr>
          <w:p>
            <w:pPr>
              <w:spacing w:line="360" w:lineRule="auto"/>
              <w:rPr>
                <w:rFonts w:ascii="宋体" w:hAnsi="宋体"/>
                <w:szCs w:val="21"/>
              </w:rPr>
            </w:pPr>
          </w:p>
        </w:tc>
        <w:tc>
          <w:tcPr>
            <w:tcW w:w="186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szCs w:val="21"/>
              </w:rPr>
            </w:pPr>
            <w:r>
              <w:rPr>
                <w:rFonts w:hint="eastAsia" w:ascii="宋体" w:hAnsi="宋体"/>
                <w:szCs w:val="21"/>
              </w:rPr>
              <w:t>用餐及其他生活条件</w:t>
            </w:r>
          </w:p>
        </w:tc>
        <w:tc>
          <w:tcPr>
            <w:tcW w:w="6120" w:type="dxa"/>
            <w:gridSpan w:val="3"/>
          </w:tcPr>
          <w:p>
            <w:pPr>
              <w:spacing w:line="360" w:lineRule="auto"/>
              <w:rPr>
                <w:rFonts w:ascii="宋体" w:hAnsi="宋体"/>
                <w:szCs w:val="21"/>
              </w:rPr>
            </w:pPr>
          </w:p>
        </w:tc>
      </w:tr>
    </w:tbl>
    <w:p>
      <w:pPr>
        <w:spacing w:beforeLines="50" w:line="360" w:lineRule="auto"/>
        <w:outlineLvl w:val="0"/>
        <w:rPr>
          <w:rFonts w:ascii="宋体" w:hAnsi="宋体"/>
          <w:b/>
          <w:kern w:val="0"/>
          <w:szCs w:val="21"/>
        </w:rPr>
      </w:pPr>
      <w:bookmarkStart w:id="95" w:name="_Toc392940994"/>
    </w:p>
    <w:p>
      <w:pPr>
        <w:spacing w:afterLines="100"/>
        <w:outlineLvl w:val="0"/>
        <w:rPr>
          <w:b/>
        </w:rPr>
      </w:pPr>
      <w:bookmarkStart w:id="96" w:name="_Toc459567828"/>
      <w:bookmarkStart w:id="97" w:name="_Toc20323429"/>
      <w:r>
        <w:rPr>
          <w:rFonts w:hint="eastAsia"/>
          <w:b/>
        </w:rPr>
        <w:t>B-3  委托人提供的资料</w:t>
      </w:r>
      <w:bookmarkEnd w:id="95"/>
      <w:bookmarkEnd w:id="96"/>
      <w:bookmarkEnd w:id="97"/>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jc w:val="center"/>
              <w:rPr>
                <w:rFonts w:ascii="宋体" w:hAnsi="宋体"/>
                <w:kern w:val="0"/>
                <w:szCs w:val="21"/>
              </w:rPr>
            </w:pPr>
            <w:r>
              <w:rPr>
                <w:rFonts w:hint="eastAsia" w:ascii="宋体" w:hAnsi="宋体"/>
                <w:kern w:val="0"/>
                <w:szCs w:val="21"/>
              </w:rPr>
              <w:t>名称</w:t>
            </w:r>
          </w:p>
        </w:tc>
        <w:tc>
          <w:tcPr>
            <w:tcW w:w="1491" w:type="dxa"/>
            <w:vAlign w:val="center"/>
          </w:tcPr>
          <w:p>
            <w:pPr>
              <w:spacing w:line="360" w:lineRule="auto"/>
              <w:jc w:val="center"/>
              <w:rPr>
                <w:rFonts w:ascii="宋体" w:hAnsi="宋体"/>
                <w:kern w:val="0"/>
                <w:szCs w:val="21"/>
              </w:rPr>
            </w:pPr>
            <w:r>
              <w:rPr>
                <w:rFonts w:hint="eastAsia" w:ascii="宋体" w:hAnsi="宋体"/>
                <w:kern w:val="0"/>
                <w:szCs w:val="21"/>
              </w:rPr>
              <w:t>份数</w:t>
            </w:r>
          </w:p>
        </w:tc>
        <w:tc>
          <w:tcPr>
            <w:tcW w:w="2147" w:type="dxa"/>
            <w:vAlign w:val="center"/>
          </w:tcPr>
          <w:p>
            <w:pPr>
              <w:spacing w:line="360" w:lineRule="auto"/>
              <w:jc w:val="center"/>
              <w:rPr>
                <w:rFonts w:ascii="宋体" w:hAnsi="宋体"/>
                <w:kern w:val="0"/>
                <w:szCs w:val="21"/>
              </w:rPr>
            </w:pPr>
            <w:r>
              <w:rPr>
                <w:rFonts w:hint="eastAsia" w:ascii="宋体" w:hAnsi="宋体"/>
                <w:kern w:val="0"/>
                <w:szCs w:val="21"/>
              </w:rPr>
              <w:t>提供时间</w:t>
            </w:r>
          </w:p>
        </w:tc>
        <w:tc>
          <w:tcPr>
            <w:tcW w:w="2082" w:type="dxa"/>
            <w:vAlign w:val="center"/>
          </w:tcPr>
          <w:p>
            <w:pPr>
              <w:spacing w:line="360" w:lineRule="auto"/>
              <w:jc w:val="center"/>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rPr>
                <w:rFonts w:ascii="宋体" w:hAnsi="宋体"/>
                <w:kern w:val="0"/>
                <w:szCs w:val="21"/>
              </w:rPr>
            </w:pPr>
            <w:r>
              <w:rPr>
                <w:rFonts w:hint="eastAsia" w:ascii="宋体" w:hAnsi="宋体"/>
                <w:kern w:val="0"/>
                <w:szCs w:val="21"/>
              </w:rPr>
              <w:t>1. 工程立项文件</w:t>
            </w:r>
          </w:p>
        </w:tc>
        <w:tc>
          <w:tcPr>
            <w:tcW w:w="1491" w:type="dxa"/>
            <w:vAlign w:val="center"/>
          </w:tcPr>
          <w:p>
            <w:pPr>
              <w:spacing w:line="360" w:lineRule="auto"/>
              <w:rPr>
                <w:rFonts w:ascii="宋体" w:hAnsi="宋体"/>
                <w:kern w:val="0"/>
                <w:szCs w:val="21"/>
              </w:rPr>
            </w:pPr>
          </w:p>
        </w:tc>
        <w:tc>
          <w:tcPr>
            <w:tcW w:w="2147" w:type="dxa"/>
            <w:vAlign w:val="center"/>
          </w:tcPr>
          <w:p>
            <w:pPr>
              <w:spacing w:line="360" w:lineRule="auto"/>
              <w:rPr>
                <w:rFonts w:ascii="宋体" w:hAnsi="宋体"/>
                <w:kern w:val="0"/>
                <w:szCs w:val="21"/>
              </w:rPr>
            </w:pPr>
          </w:p>
        </w:tc>
        <w:tc>
          <w:tcPr>
            <w:tcW w:w="2082" w:type="dxa"/>
            <w:vAlign w:val="center"/>
          </w:tcPr>
          <w:p>
            <w:pPr>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rPr>
                <w:rFonts w:ascii="宋体" w:hAnsi="宋体"/>
                <w:kern w:val="0"/>
                <w:szCs w:val="21"/>
              </w:rPr>
            </w:pPr>
            <w:r>
              <w:rPr>
                <w:rFonts w:hint="eastAsia" w:ascii="宋体" w:hAnsi="宋体"/>
                <w:kern w:val="0"/>
                <w:szCs w:val="21"/>
              </w:rPr>
              <w:t>2. 工程勘察文件</w:t>
            </w:r>
          </w:p>
        </w:tc>
        <w:tc>
          <w:tcPr>
            <w:tcW w:w="1491" w:type="dxa"/>
            <w:vAlign w:val="center"/>
          </w:tcPr>
          <w:p>
            <w:pPr>
              <w:spacing w:line="360" w:lineRule="auto"/>
              <w:rPr>
                <w:rFonts w:ascii="宋体" w:hAnsi="宋体"/>
                <w:kern w:val="0"/>
                <w:szCs w:val="21"/>
              </w:rPr>
            </w:pPr>
          </w:p>
        </w:tc>
        <w:tc>
          <w:tcPr>
            <w:tcW w:w="2147" w:type="dxa"/>
            <w:vAlign w:val="center"/>
          </w:tcPr>
          <w:p>
            <w:pPr>
              <w:spacing w:line="360" w:lineRule="auto"/>
              <w:rPr>
                <w:rFonts w:ascii="宋体" w:hAnsi="宋体"/>
                <w:kern w:val="0"/>
                <w:szCs w:val="21"/>
              </w:rPr>
            </w:pPr>
          </w:p>
        </w:tc>
        <w:tc>
          <w:tcPr>
            <w:tcW w:w="2082" w:type="dxa"/>
            <w:vAlign w:val="center"/>
          </w:tcPr>
          <w:p>
            <w:pPr>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rPr>
                <w:rFonts w:ascii="宋体" w:hAnsi="宋体"/>
                <w:kern w:val="0"/>
                <w:szCs w:val="21"/>
              </w:rPr>
            </w:pPr>
            <w:r>
              <w:rPr>
                <w:rFonts w:hint="eastAsia" w:ascii="宋体" w:hAnsi="宋体"/>
                <w:kern w:val="0"/>
                <w:szCs w:val="21"/>
              </w:rPr>
              <w:t>3. 工程设计及施工图纸</w:t>
            </w:r>
          </w:p>
        </w:tc>
        <w:tc>
          <w:tcPr>
            <w:tcW w:w="1491" w:type="dxa"/>
            <w:vAlign w:val="center"/>
          </w:tcPr>
          <w:p>
            <w:pPr>
              <w:spacing w:line="360" w:lineRule="auto"/>
              <w:rPr>
                <w:rFonts w:ascii="宋体" w:hAnsi="宋体"/>
                <w:kern w:val="0"/>
                <w:szCs w:val="21"/>
              </w:rPr>
            </w:pPr>
          </w:p>
        </w:tc>
        <w:tc>
          <w:tcPr>
            <w:tcW w:w="2147" w:type="dxa"/>
            <w:vAlign w:val="center"/>
          </w:tcPr>
          <w:p>
            <w:pPr>
              <w:spacing w:line="360" w:lineRule="auto"/>
              <w:rPr>
                <w:rFonts w:ascii="宋体" w:hAnsi="宋体"/>
                <w:kern w:val="0"/>
                <w:szCs w:val="21"/>
              </w:rPr>
            </w:pPr>
          </w:p>
        </w:tc>
        <w:tc>
          <w:tcPr>
            <w:tcW w:w="2082" w:type="dxa"/>
            <w:vAlign w:val="center"/>
          </w:tcPr>
          <w:p>
            <w:pPr>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rPr>
                <w:rFonts w:ascii="宋体" w:hAnsi="宋体"/>
                <w:kern w:val="0"/>
                <w:szCs w:val="21"/>
              </w:rPr>
            </w:pPr>
            <w:r>
              <w:rPr>
                <w:rFonts w:hint="eastAsia" w:ascii="宋体" w:hAnsi="宋体"/>
                <w:kern w:val="0"/>
                <w:szCs w:val="21"/>
              </w:rPr>
              <w:t>4. 工程承包合同及其他相关合同</w:t>
            </w:r>
          </w:p>
        </w:tc>
        <w:tc>
          <w:tcPr>
            <w:tcW w:w="1491" w:type="dxa"/>
            <w:vAlign w:val="center"/>
          </w:tcPr>
          <w:p>
            <w:pPr>
              <w:spacing w:line="360" w:lineRule="auto"/>
              <w:rPr>
                <w:rFonts w:ascii="宋体" w:hAnsi="宋体"/>
                <w:kern w:val="0"/>
                <w:szCs w:val="21"/>
              </w:rPr>
            </w:pPr>
          </w:p>
        </w:tc>
        <w:tc>
          <w:tcPr>
            <w:tcW w:w="2147" w:type="dxa"/>
            <w:vAlign w:val="center"/>
          </w:tcPr>
          <w:p>
            <w:pPr>
              <w:spacing w:line="360" w:lineRule="auto"/>
              <w:rPr>
                <w:rFonts w:ascii="宋体" w:hAnsi="宋体"/>
                <w:kern w:val="0"/>
                <w:szCs w:val="21"/>
              </w:rPr>
            </w:pPr>
          </w:p>
        </w:tc>
        <w:tc>
          <w:tcPr>
            <w:tcW w:w="2082" w:type="dxa"/>
            <w:vAlign w:val="center"/>
          </w:tcPr>
          <w:p>
            <w:pPr>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rPr>
                <w:rFonts w:ascii="宋体" w:hAnsi="宋体"/>
                <w:kern w:val="0"/>
                <w:szCs w:val="21"/>
              </w:rPr>
            </w:pPr>
            <w:r>
              <w:rPr>
                <w:rFonts w:hint="eastAsia" w:ascii="宋体" w:hAnsi="宋体"/>
                <w:kern w:val="0"/>
                <w:szCs w:val="21"/>
              </w:rPr>
              <w:t>5. 施工许可文件</w:t>
            </w:r>
          </w:p>
        </w:tc>
        <w:tc>
          <w:tcPr>
            <w:tcW w:w="1491" w:type="dxa"/>
            <w:vAlign w:val="center"/>
          </w:tcPr>
          <w:p>
            <w:pPr>
              <w:spacing w:line="360" w:lineRule="auto"/>
              <w:rPr>
                <w:rFonts w:ascii="宋体" w:hAnsi="宋体"/>
                <w:kern w:val="0"/>
                <w:szCs w:val="21"/>
              </w:rPr>
            </w:pPr>
          </w:p>
        </w:tc>
        <w:tc>
          <w:tcPr>
            <w:tcW w:w="2147" w:type="dxa"/>
            <w:vAlign w:val="center"/>
          </w:tcPr>
          <w:p>
            <w:pPr>
              <w:spacing w:line="360" w:lineRule="auto"/>
              <w:rPr>
                <w:rFonts w:ascii="宋体" w:hAnsi="宋体"/>
                <w:kern w:val="0"/>
                <w:szCs w:val="21"/>
              </w:rPr>
            </w:pPr>
          </w:p>
        </w:tc>
        <w:tc>
          <w:tcPr>
            <w:tcW w:w="2082" w:type="dxa"/>
            <w:vAlign w:val="center"/>
          </w:tcPr>
          <w:p>
            <w:pPr>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rPr>
                <w:rFonts w:ascii="宋体" w:hAnsi="宋体"/>
                <w:kern w:val="0"/>
                <w:szCs w:val="21"/>
              </w:rPr>
            </w:pPr>
            <w:r>
              <w:rPr>
                <w:rFonts w:hint="eastAsia" w:ascii="宋体" w:hAnsi="宋体"/>
                <w:kern w:val="0"/>
                <w:szCs w:val="21"/>
              </w:rPr>
              <w:t>6. 其他文件</w:t>
            </w:r>
          </w:p>
        </w:tc>
        <w:tc>
          <w:tcPr>
            <w:tcW w:w="1491" w:type="dxa"/>
            <w:vAlign w:val="center"/>
          </w:tcPr>
          <w:p>
            <w:pPr>
              <w:spacing w:line="360" w:lineRule="auto"/>
              <w:rPr>
                <w:rFonts w:ascii="宋体" w:hAnsi="宋体"/>
                <w:kern w:val="0"/>
                <w:szCs w:val="21"/>
              </w:rPr>
            </w:pPr>
          </w:p>
        </w:tc>
        <w:tc>
          <w:tcPr>
            <w:tcW w:w="2147" w:type="dxa"/>
            <w:vAlign w:val="center"/>
          </w:tcPr>
          <w:p>
            <w:pPr>
              <w:spacing w:line="360" w:lineRule="auto"/>
              <w:rPr>
                <w:rFonts w:ascii="宋体" w:hAnsi="宋体"/>
                <w:kern w:val="0"/>
                <w:szCs w:val="21"/>
              </w:rPr>
            </w:pPr>
          </w:p>
        </w:tc>
        <w:tc>
          <w:tcPr>
            <w:tcW w:w="2082" w:type="dxa"/>
            <w:vAlign w:val="center"/>
          </w:tcPr>
          <w:p>
            <w:pPr>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rPr>
                <w:rFonts w:ascii="宋体" w:hAnsi="宋体" w:cs="宋体"/>
                <w:kern w:val="0"/>
                <w:szCs w:val="21"/>
              </w:rPr>
            </w:pPr>
          </w:p>
        </w:tc>
        <w:tc>
          <w:tcPr>
            <w:tcW w:w="1491" w:type="dxa"/>
            <w:vAlign w:val="center"/>
          </w:tcPr>
          <w:p>
            <w:pPr>
              <w:spacing w:line="360" w:lineRule="auto"/>
              <w:rPr>
                <w:rFonts w:ascii="宋体" w:hAnsi="宋体" w:cs="宋体"/>
                <w:kern w:val="0"/>
                <w:szCs w:val="21"/>
              </w:rPr>
            </w:pPr>
          </w:p>
        </w:tc>
        <w:tc>
          <w:tcPr>
            <w:tcW w:w="2147" w:type="dxa"/>
            <w:vAlign w:val="center"/>
          </w:tcPr>
          <w:p>
            <w:pPr>
              <w:spacing w:line="360" w:lineRule="auto"/>
              <w:rPr>
                <w:rFonts w:ascii="宋体" w:hAnsi="宋体" w:cs="宋体"/>
                <w:kern w:val="0"/>
                <w:szCs w:val="21"/>
              </w:rPr>
            </w:pPr>
          </w:p>
        </w:tc>
        <w:tc>
          <w:tcPr>
            <w:tcW w:w="2082" w:type="dxa"/>
            <w:vAlign w:val="center"/>
          </w:tcPr>
          <w:p>
            <w:pPr>
              <w:spacing w:line="360" w:lineRule="auto"/>
              <w:rPr>
                <w:rFonts w:ascii="宋体" w:hAnsi="宋体" w:cs="宋体"/>
                <w:kern w:val="0"/>
                <w:szCs w:val="21"/>
              </w:rPr>
            </w:pPr>
          </w:p>
        </w:tc>
      </w:tr>
    </w:tbl>
    <w:p>
      <w:pPr>
        <w:spacing w:beforeLines="50" w:line="360" w:lineRule="auto"/>
        <w:rPr>
          <w:rFonts w:ascii="宋体" w:hAnsi="宋体"/>
          <w:b/>
          <w:kern w:val="0"/>
          <w:szCs w:val="21"/>
        </w:rPr>
      </w:pPr>
    </w:p>
    <w:p>
      <w:pPr>
        <w:spacing w:afterLines="100"/>
        <w:outlineLvl w:val="0"/>
        <w:rPr>
          <w:b/>
        </w:rPr>
      </w:pPr>
      <w:bookmarkStart w:id="98" w:name="_Toc459567829"/>
      <w:bookmarkStart w:id="99" w:name="_Toc20323430"/>
      <w:r>
        <w:rPr>
          <w:rFonts w:hint="eastAsia"/>
          <w:b/>
        </w:rPr>
        <w:t>B-4 委托人提供的设备</w:t>
      </w:r>
      <w:bookmarkEnd w:id="98"/>
      <w:bookmarkEnd w:id="99"/>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line="360" w:lineRule="auto"/>
              <w:jc w:val="center"/>
              <w:rPr>
                <w:rFonts w:ascii="宋体" w:hAnsi="宋体"/>
                <w:szCs w:val="21"/>
              </w:rPr>
            </w:pPr>
            <w:r>
              <w:rPr>
                <w:rFonts w:hint="eastAsia" w:ascii="宋体" w:hAnsi="宋体"/>
                <w:szCs w:val="21"/>
              </w:rPr>
              <w:t>名称</w:t>
            </w:r>
          </w:p>
        </w:tc>
        <w:tc>
          <w:tcPr>
            <w:tcW w:w="1590" w:type="dxa"/>
            <w:vAlign w:val="center"/>
          </w:tcPr>
          <w:p>
            <w:pPr>
              <w:spacing w:line="360" w:lineRule="auto"/>
              <w:jc w:val="center"/>
              <w:rPr>
                <w:rFonts w:ascii="宋体" w:hAnsi="宋体"/>
                <w:szCs w:val="21"/>
              </w:rPr>
            </w:pPr>
            <w:r>
              <w:rPr>
                <w:rFonts w:hint="eastAsia" w:ascii="宋体" w:hAnsi="宋体"/>
                <w:szCs w:val="21"/>
              </w:rPr>
              <w:t>数量</w:t>
            </w:r>
          </w:p>
        </w:tc>
        <w:tc>
          <w:tcPr>
            <w:tcW w:w="2130" w:type="dxa"/>
            <w:vAlign w:val="center"/>
          </w:tcPr>
          <w:p>
            <w:pPr>
              <w:spacing w:line="360" w:lineRule="auto"/>
              <w:jc w:val="center"/>
              <w:rPr>
                <w:rFonts w:ascii="宋体" w:hAnsi="宋体"/>
                <w:szCs w:val="21"/>
              </w:rPr>
            </w:pPr>
            <w:r>
              <w:rPr>
                <w:rFonts w:hint="eastAsia" w:ascii="宋体" w:hAnsi="宋体"/>
                <w:szCs w:val="21"/>
              </w:rPr>
              <w:t>型号与规格</w:t>
            </w:r>
          </w:p>
        </w:tc>
        <w:tc>
          <w:tcPr>
            <w:tcW w:w="1860" w:type="dxa"/>
            <w:vAlign w:val="center"/>
          </w:tcPr>
          <w:p>
            <w:pPr>
              <w:spacing w:line="360" w:lineRule="auto"/>
              <w:jc w:val="center"/>
              <w:rPr>
                <w:rFonts w:ascii="宋体" w:hAnsi="宋体"/>
                <w:szCs w:val="21"/>
              </w:rPr>
            </w:pPr>
            <w:r>
              <w:rPr>
                <w:rFonts w:hint="eastAsia" w:ascii="宋体" w:hAnsi="宋体"/>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line="360" w:lineRule="auto"/>
              <w:rPr>
                <w:rFonts w:ascii="宋体" w:hAnsi="宋体"/>
                <w:szCs w:val="21"/>
              </w:rPr>
            </w:pPr>
            <w:r>
              <w:rPr>
                <w:rFonts w:hint="eastAsia" w:ascii="宋体" w:hAnsi="宋体"/>
                <w:szCs w:val="21"/>
              </w:rPr>
              <w:t>1. 通讯设备</w:t>
            </w:r>
          </w:p>
        </w:tc>
        <w:tc>
          <w:tcPr>
            <w:tcW w:w="1590" w:type="dxa"/>
            <w:vAlign w:val="center"/>
          </w:tcPr>
          <w:p>
            <w:pPr>
              <w:spacing w:line="360" w:lineRule="auto"/>
              <w:rPr>
                <w:rFonts w:ascii="宋体" w:hAnsi="宋体"/>
                <w:szCs w:val="21"/>
              </w:rPr>
            </w:pPr>
          </w:p>
        </w:tc>
        <w:tc>
          <w:tcPr>
            <w:tcW w:w="2130" w:type="dxa"/>
            <w:vAlign w:val="center"/>
          </w:tcPr>
          <w:p>
            <w:pPr>
              <w:spacing w:line="360" w:lineRule="auto"/>
              <w:rPr>
                <w:rFonts w:ascii="宋体" w:hAnsi="宋体"/>
                <w:szCs w:val="21"/>
              </w:rPr>
            </w:pPr>
          </w:p>
        </w:tc>
        <w:tc>
          <w:tcPr>
            <w:tcW w:w="1860"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line="360" w:lineRule="auto"/>
              <w:rPr>
                <w:rFonts w:ascii="宋体" w:hAnsi="宋体"/>
                <w:szCs w:val="21"/>
              </w:rPr>
            </w:pPr>
            <w:r>
              <w:rPr>
                <w:rFonts w:hint="eastAsia" w:ascii="宋体" w:hAnsi="宋体"/>
                <w:szCs w:val="21"/>
              </w:rPr>
              <w:t>2. 办公设备</w:t>
            </w:r>
          </w:p>
        </w:tc>
        <w:tc>
          <w:tcPr>
            <w:tcW w:w="1590" w:type="dxa"/>
            <w:vAlign w:val="center"/>
          </w:tcPr>
          <w:p>
            <w:pPr>
              <w:spacing w:line="360" w:lineRule="auto"/>
              <w:rPr>
                <w:rFonts w:ascii="宋体" w:hAnsi="宋体"/>
                <w:szCs w:val="21"/>
              </w:rPr>
            </w:pPr>
          </w:p>
        </w:tc>
        <w:tc>
          <w:tcPr>
            <w:tcW w:w="2130" w:type="dxa"/>
            <w:vAlign w:val="center"/>
          </w:tcPr>
          <w:p>
            <w:pPr>
              <w:spacing w:line="360" w:lineRule="auto"/>
              <w:rPr>
                <w:rFonts w:ascii="宋体" w:hAnsi="宋体"/>
                <w:szCs w:val="21"/>
              </w:rPr>
            </w:pPr>
          </w:p>
        </w:tc>
        <w:tc>
          <w:tcPr>
            <w:tcW w:w="1860"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line="360" w:lineRule="auto"/>
              <w:rPr>
                <w:rFonts w:ascii="宋体" w:hAnsi="宋体"/>
                <w:szCs w:val="21"/>
              </w:rPr>
            </w:pPr>
            <w:r>
              <w:rPr>
                <w:rFonts w:hint="eastAsia" w:ascii="宋体" w:hAnsi="宋体"/>
                <w:szCs w:val="21"/>
              </w:rPr>
              <w:t>3. 交通工具</w:t>
            </w:r>
          </w:p>
        </w:tc>
        <w:tc>
          <w:tcPr>
            <w:tcW w:w="1590" w:type="dxa"/>
            <w:vAlign w:val="center"/>
          </w:tcPr>
          <w:p>
            <w:pPr>
              <w:spacing w:line="360" w:lineRule="auto"/>
              <w:rPr>
                <w:rFonts w:ascii="宋体" w:hAnsi="宋体"/>
                <w:szCs w:val="21"/>
              </w:rPr>
            </w:pPr>
          </w:p>
        </w:tc>
        <w:tc>
          <w:tcPr>
            <w:tcW w:w="2130" w:type="dxa"/>
            <w:vAlign w:val="center"/>
          </w:tcPr>
          <w:p>
            <w:pPr>
              <w:spacing w:line="360" w:lineRule="auto"/>
              <w:rPr>
                <w:rFonts w:ascii="宋体" w:hAnsi="宋体"/>
                <w:szCs w:val="21"/>
              </w:rPr>
            </w:pPr>
          </w:p>
        </w:tc>
        <w:tc>
          <w:tcPr>
            <w:tcW w:w="1860"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line="360" w:lineRule="auto"/>
              <w:rPr>
                <w:rFonts w:ascii="宋体" w:hAnsi="宋体"/>
                <w:szCs w:val="21"/>
              </w:rPr>
            </w:pPr>
            <w:r>
              <w:rPr>
                <w:rFonts w:hint="eastAsia" w:ascii="宋体" w:hAnsi="宋体"/>
                <w:szCs w:val="21"/>
              </w:rPr>
              <w:t>4. 检测和试验设备</w:t>
            </w:r>
          </w:p>
        </w:tc>
        <w:tc>
          <w:tcPr>
            <w:tcW w:w="1590" w:type="dxa"/>
            <w:vAlign w:val="center"/>
          </w:tcPr>
          <w:p>
            <w:pPr>
              <w:spacing w:line="360" w:lineRule="auto"/>
              <w:rPr>
                <w:rFonts w:ascii="宋体" w:hAnsi="宋体"/>
                <w:szCs w:val="21"/>
              </w:rPr>
            </w:pPr>
          </w:p>
        </w:tc>
        <w:tc>
          <w:tcPr>
            <w:tcW w:w="2130" w:type="dxa"/>
            <w:vAlign w:val="center"/>
          </w:tcPr>
          <w:p>
            <w:pPr>
              <w:spacing w:line="360" w:lineRule="auto"/>
              <w:rPr>
                <w:rFonts w:ascii="宋体" w:hAnsi="宋体"/>
                <w:szCs w:val="21"/>
              </w:rPr>
            </w:pPr>
          </w:p>
        </w:tc>
        <w:tc>
          <w:tcPr>
            <w:tcW w:w="1860"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line="360" w:lineRule="auto"/>
              <w:rPr>
                <w:rFonts w:ascii="宋体" w:hAnsi="宋体"/>
                <w:szCs w:val="21"/>
              </w:rPr>
            </w:pPr>
          </w:p>
        </w:tc>
        <w:tc>
          <w:tcPr>
            <w:tcW w:w="1590" w:type="dxa"/>
            <w:vAlign w:val="center"/>
          </w:tcPr>
          <w:p>
            <w:pPr>
              <w:spacing w:line="360" w:lineRule="auto"/>
              <w:rPr>
                <w:rFonts w:ascii="宋体" w:hAnsi="宋体"/>
                <w:szCs w:val="21"/>
              </w:rPr>
            </w:pPr>
          </w:p>
        </w:tc>
        <w:tc>
          <w:tcPr>
            <w:tcW w:w="2130" w:type="dxa"/>
            <w:vAlign w:val="center"/>
          </w:tcPr>
          <w:p>
            <w:pPr>
              <w:spacing w:line="360" w:lineRule="auto"/>
              <w:rPr>
                <w:rFonts w:ascii="宋体" w:hAnsi="宋体"/>
                <w:szCs w:val="21"/>
              </w:rPr>
            </w:pPr>
          </w:p>
        </w:tc>
        <w:tc>
          <w:tcPr>
            <w:tcW w:w="1860" w:type="dxa"/>
            <w:vAlign w:val="center"/>
          </w:tcPr>
          <w:p>
            <w:pPr>
              <w:spacing w:line="360" w:lineRule="auto"/>
              <w:rPr>
                <w:rFonts w:ascii="宋体" w:hAnsi="宋体"/>
                <w:szCs w:val="21"/>
              </w:rPr>
            </w:pPr>
          </w:p>
        </w:tc>
      </w:tr>
    </w:tbl>
    <w:p>
      <w:pPr>
        <w:pStyle w:val="2"/>
        <w:rPr>
          <w:rFonts w:hint="eastAsia"/>
          <w:lang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607A0"/>
    <w:multiLevelType w:val="singleLevel"/>
    <w:tmpl w:val="113607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35137"/>
    <w:rsid w:val="00021C33"/>
    <w:rsid w:val="0005153B"/>
    <w:rsid w:val="0006599A"/>
    <w:rsid w:val="000838D5"/>
    <w:rsid w:val="00127ABB"/>
    <w:rsid w:val="00167059"/>
    <w:rsid w:val="001863BB"/>
    <w:rsid w:val="0019449F"/>
    <w:rsid w:val="00196A5C"/>
    <w:rsid w:val="001B7F8F"/>
    <w:rsid w:val="00270CAE"/>
    <w:rsid w:val="00270E20"/>
    <w:rsid w:val="002844B3"/>
    <w:rsid w:val="002B2AB5"/>
    <w:rsid w:val="002C506E"/>
    <w:rsid w:val="002D2D56"/>
    <w:rsid w:val="002D5625"/>
    <w:rsid w:val="003259ED"/>
    <w:rsid w:val="00325C4F"/>
    <w:rsid w:val="00356A77"/>
    <w:rsid w:val="00365400"/>
    <w:rsid w:val="00375AA3"/>
    <w:rsid w:val="003857C2"/>
    <w:rsid w:val="003B6E2A"/>
    <w:rsid w:val="00410C06"/>
    <w:rsid w:val="004365A8"/>
    <w:rsid w:val="004370C2"/>
    <w:rsid w:val="0044017F"/>
    <w:rsid w:val="00480E16"/>
    <w:rsid w:val="004C478E"/>
    <w:rsid w:val="004D3895"/>
    <w:rsid w:val="004D7C69"/>
    <w:rsid w:val="00510322"/>
    <w:rsid w:val="00570872"/>
    <w:rsid w:val="005901C0"/>
    <w:rsid w:val="005959A8"/>
    <w:rsid w:val="00637AEB"/>
    <w:rsid w:val="00643382"/>
    <w:rsid w:val="00651360"/>
    <w:rsid w:val="006F29B6"/>
    <w:rsid w:val="00700B69"/>
    <w:rsid w:val="00700BDB"/>
    <w:rsid w:val="00713A98"/>
    <w:rsid w:val="00726FD4"/>
    <w:rsid w:val="00774772"/>
    <w:rsid w:val="007850F5"/>
    <w:rsid w:val="007B7943"/>
    <w:rsid w:val="007C00BD"/>
    <w:rsid w:val="007C0691"/>
    <w:rsid w:val="007E6313"/>
    <w:rsid w:val="00821EE9"/>
    <w:rsid w:val="00836818"/>
    <w:rsid w:val="00907339"/>
    <w:rsid w:val="00984B61"/>
    <w:rsid w:val="00A27D8E"/>
    <w:rsid w:val="00B72C68"/>
    <w:rsid w:val="00B8504C"/>
    <w:rsid w:val="00BF04EE"/>
    <w:rsid w:val="00BF1B5B"/>
    <w:rsid w:val="00BF23D9"/>
    <w:rsid w:val="00BF7218"/>
    <w:rsid w:val="00C17BB3"/>
    <w:rsid w:val="00C846FB"/>
    <w:rsid w:val="00CB1A2F"/>
    <w:rsid w:val="00CD168F"/>
    <w:rsid w:val="00CD4047"/>
    <w:rsid w:val="00CD5643"/>
    <w:rsid w:val="00CF7303"/>
    <w:rsid w:val="00D32DA2"/>
    <w:rsid w:val="00D821AE"/>
    <w:rsid w:val="00DE0875"/>
    <w:rsid w:val="00EC24BD"/>
    <w:rsid w:val="00EF15D0"/>
    <w:rsid w:val="00F02523"/>
    <w:rsid w:val="00F8498C"/>
    <w:rsid w:val="00FB014B"/>
    <w:rsid w:val="00FB572E"/>
    <w:rsid w:val="00FE0B84"/>
    <w:rsid w:val="018B6C90"/>
    <w:rsid w:val="01B3097E"/>
    <w:rsid w:val="01BC2EC2"/>
    <w:rsid w:val="01DF4340"/>
    <w:rsid w:val="02065B03"/>
    <w:rsid w:val="022C2529"/>
    <w:rsid w:val="032F4967"/>
    <w:rsid w:val="038168B8"/>
    <w:rsid w:val="03D71A6E"/>
    <w:rsid w:val="043905FE"/>
    <w:rsid w:val="04F25DF8"/>
    <w:rsid w:val="05047723"/>
    <w:rsid w:val="054474C7"/>
    <w:rsid w:val="05794F1C"/>
    <w:rsid w:val="05D55933"/>
    <w:rsid w:val="05EF3E39"/>
    <w:rsid w:val="060D1D22"/>
    <w:rsid w:val="06195808"/>
    <w:rsid w:val="07DC5496"/>
    <w:rsid w:val="07E10BCF"/>
    <w:rsid w:val="082A089D"/>
    <w:rsid w:val="087867F5"/>
    <w:rsid w:val="091971F1"/>
    <w:rsid w:val="094B77F9"/>
    <w:rsid w:val="0A253FFD"/>
    <w:rsid w:val="0A326601"/>
    <w:rsid w:val="0B6B29D1"/>
    <w:rsid w:val="0B6C52EE"/>
    <w:rsid w:val="0BB40424"/>
    <w:rsid w:val="0BFA2DE4"/>
    <w:rsid w:val="0D193B0E"/>
    <w:rsid w:val="0DA4276E"/>
    <w:rsid w:val="0DB5151F"/>
    <w:rsid w:val="0DEE64AA"/>
    <w:rsid w:val="0E1E12A8"/>
    <w:rsid w:val="0F0E7329"/>
    <w:rsid w:val="0F227FC9"/>
    <w:rsid w:val="0F730B70"/>
    <w:rsid w:val="0FC37BE5"/>
    <w:rsid w:val="10685B76"/>
    <w:rsid w:val="10DE5758"/>
    <w:rsid w:val="10F5565C"/>
    <w:rsid w:val="11224550"/>
    <w:rsid w:val="11263433"/>
    <w:rsid w:val="11C5626A"/>
    <w:rsid w:val="13542D28"/>
    <w:rsid w:val="13775F3B"/>
    <w:rsid w:val="14020EB3"/>
    <w:rsid w:val="14294DE0"/>
    <w:rsid w:val="1575592C"/>
    <w:rsid w:val="159A4D56"/>
    <w:rsid w:val="159B613E"/>
    <w:rsid w:val="1680126F"/>
    <w:rsid w:val="16AD062D"/>
    <w:rsid w:val="16BC1B58"/>
    <w:rsid w:val="17B77F6F"/>
    <w:rsid w:val="17C1131C"/>
    <w:rsid w:val="17EA5022"/>
    <w:rsid w:val="180A4150"/>
    <w:rsid w:val="18F62BB7"/>
    <w:rsid w:val="1929479B"/>
    <w:rsid w:val="19B13E6A"/>
    <w:rsid w:val="1A7048BD"/>
    <w:rsid w:val="1AB3150E"/>
    <w:rsid w:val="1B501588"/>
    <w:rsid w:val="1BEC35A8"/>
    <w:rsid w:val="1C3805DB"/>
    <w:rsid w:val="1C5A7FCB"/>
    <w:rsid w:val="1CC8587A"/>
    <w:rsid w:val="1D5A4EAB"/>
    <w:rsid w:val="1EDB6386"/>
    <w:rsid w:val="1F3D4DFE"/>
    <w:rsid w:val="1F5D64A8"/>
    <w:rsid w:val="1FB641D1"/>
    <w:rsid w:val="1FC241FB"/>
    <w:rsid w:val="203E5548"/>
    <w:rsid w:val="20F316B8"/>
    <w:rsid w:val="21E743A4"/>
    <w:rsid w:val="221218C5"/>
    <w:rsid w:val="22530886"/>
    <w:rsid w:val="23E776E3"/>
    <w:rsid w:val="243607F3"/>
    <w:rsid w:val="244F24F2"/>
    <w:rsid w:val="24A808A8"/>
    <w:rsid w:val="25097BDB"/>
    <w:rsid w:val="25376FE9"/>
    <w:rsid w:val="25976BA3"/>
    <w:rsid w:val="25DD62CE"/>
    <w:rsid w:val="261C41B3"/>
    <w:rsid w:val="26300642"/>
    <w:rsid w:val="268936E4"/>
    <w:rsid w:val="26B57515"/>
    <w:rsid w:val="26F573D5"/>
    <w:rsid w:val="27543F7A"/>
    <w:rsid w:val="27644345"/>
    <w:rsid w:val="27D1556F"/>
    <w:rsid w:val="28696028"/>
    <w:rsid w:val="28AA17F0"/>
    <w:rsid w:val="298835D0"/>
    <w:rsid w:val="2A0A377A"/>
    <w:rsid w:val="2A6B6861"/>
    <w:rsid w:val="2C2638A3"/>
    <w:rsid w:val="2C40177B"/>
    <w:rsid w:val="2C780F7B"/>
    <w:rsid w:val="2CB53226"/>
    <w:rsid w:val="2D594580"/>
    <w:rsid w:val="2E8C5BC3"/>
    <w:rsid w:val="2EC34807"/>
    <w:rsid w:val="2F6B4718"/>
    <w:rsid w:val="2F9D2469"/>
    <w:rsid w:val="30F07941"/>
    <w:rsid w:val="316215A1"/>
    <w:rsid w:val="320114FB"/>
    <w:rsid w:val="3223061D"/>
    <w:rsid w:val="324203A1"/>
    <w:rsid w:val="32997EBB"/>
    <w:rsid w:val="32B249E5"/>
    <w:rsid w:val="32E1421E"/>
    <w:rsid w:val="33E80571"/>
    <w:rsid w:val="33F31FB3"/>
    <w:rsid w:val="345D7BDC"/>
    <w:rsid w:val="34C44675"/>
    <w:rsid w:val="34F675B0"/>
    <w:rsid w:val="35543997"/>
    <w:rsid w:val="357C4410"/>
    <w:rsid w:val="35887919"/>
    <w:rsid w:val="358E7574"/>
    <w:rsid w:val="36080C3C"/>
    <w:rsid w:val="36573A59"/>
    <w:rsid w:val="365C0892"/>
    <w:rsid w:val="3690033F"/>
    <w:rsid w:val="36E42FE8"/>
    <w:rsid w:val="384D38B8"/>
    <w:rsid w:val="38540432"/>
    <w:rsid w:val="38B41CD4"/>
    <w:rsid w:val="38DE382B"/>
    <w:rsid w:val="39D11E36"/>
    <w:rsid w:val="3A3114AC"/>
    <w:rsid w:val="3ACA72AB"/>
    <w:rsid w:val="3B2E00F9"/>
    <w:rsid w:val="3B5C0195"/>
    <w:rsid w:val="3CA24083"/>
    <w:rsid w:val="3D180DB5"/>
    <w:rsid w:val="3D273D75"/>
    <w:rsid w:val="3D514FC0"/>
    <w:rsid w:val="3E7570EB"/>
    <w:rsid w:val="3FC419CD"/>
    <w:rsid w:val="4098237B"/>
    <w:rsid w:val="417260DA"/>
    <w:rsid w:val="41BD227B"/>
    <w:rsid w:val="42862B78"/>
    <w:rsid w:val="42B45FB8"/>
    <w:rsid w:val="439E4191"/>
    <w:rsid w:val="43C8572A"/>
    <w:rsid w:val="43FF73DF"/>
    <w:rsid w:val="44046512"/>
    <w:rsid w:val="444550B5"/>
    <w:rsid w:val="44715C9D"/>
    <w:rsid w:val="450500AE"/>
    <w:rsid w:val="45114E5C"/>
    <w:rsid w:val="4593066E"/>
    <w:rsid w:val="45C120AA"/>
    <w:rsid w:val="45FB5732"/>
    <w:rsid w:val="464F2947"/>
    <w:rsid w:val="4659460F"/>
    <w:rsid w:val="46EF2E4A"/>
    <w:rsid w:val="47A35137"/>
    <w:rsid w:val="47A85730"/>
    <w:rsid w:val="47C86710"/>
    <w:rsid w:val="47CD3D1B"/>
    <w:rsid w:val="483B6B60"/>
    <w:rsid w:val="489D6680"/>
    <w:rsid w:val="492600F9"/>
    <w:rsid w:val="49827AA9"/>
    <w:rsid w:val="4A32674B"/>
    <w:rsid w:val="4A4B5708"/>
    <w:rsid w:val="4AAB534C"/>
    <w:rsid w:val="4AE16F04"/>
    <w:rsid w:val="4B30370F"/>
    <w:rsid w:val="4B5B0672"/>
    <w:rsid w:val="4C2C62B0"/>
    <w:rsid w:val="4C341C88"/>
    <w:rsid w:val="4C692B42"/>
    <w:rsid w:val="4C7D49A6"/>
    <w:rsid w:val="4DD47011"/>
    <w:rsid w:val="4ECC17F8"/>
    <w:rsid w:val="4ECD20EA"/>
    <w:rsid w:val="4EE55400"/>
    <w:rsid w:val="4EF1094B"/>
    <w:rsid w:val="4F573A98"/>
    <w:rsid w:val="4FDC4515"/>
    <w:rsid w:val="504C6660"/>
    <w:rsid w:val="508D7055"/>
    <w:rsid w:val="51182D3C"/>
    <w:rsid w:val="515D7BAA"/>
    <w:rsid w:val="51820B95"/>
    <w:rsid w:val="521F22C7"/>
    <w:rsid w:val="523C2EDF"/>
    <w:rsid w:val="52DC0984"/>
    <w:rsid w:val="530E0F95"/>
    <w:rsid w:val="531466F1"/>
    <w:rsid w:val="532643DB"/>
    <w:rsid w:val="53EA0E7E"/>
    <w:rsid w:val="53EC49A7"/>
    <w:rsid w:val="5422208F"/>
    <w:rsid w:val="547776DC"/>
    <w:rsid w:val="54F9676D"/>
    <w:rsid w:val="55612AF6"/>
    <w:rsid w:val="55D7417F"/>
    <w:rsid w:val="56A07886"/>
    <w:rsid w:val="570720AC"/>
    <w:rsid w:val="57120030"/>
    <w:rsid w:val="57EF238E"/>
    <w:rsid w:val="587D2445"/>
    <w:rsid w:val="599E7501"/>
    <w:rsid w:val="59B4247F"/>
    <w:rsid w:val="59B84620"/>
    <w:rsid w:val="5A5937D1"/>
    <w:rsid w:val="5A7F0572"/>
    <w:rsid w:val="5ACC40E9"/>
    <w:rsid w:val="5BD407DD"/>
    <w:rsid w:val="5EB40833"/>
    <w:rsid w:val="5EB61616"/>
    <w:rsid w:val="5ED223E1"/>
    <w:rsid w:val="5EEF09CD"/>
    <w:rsid w:val="5EFC509D"/>
    <w:rsid w:val="600D0BBA"/>
    <w:rsid w:val="61287ED4"/>
    <w:rsid w:val="61312CE4"/>
    <w:rsid w:val="62254177"/>
    <w:rsid w:val="622D2B54"/>
    <w:rsid w:val="63E54A73"/>
    <w:rsid w:val="645554C6"/>
    <w:rsid w:val="64802F7D"/>
    <w:rsid w:val="64C1217C"/>
    <w:rsid w:val="64CC2881"/>
    <w:rsid w:val="66762862"/>
    <w:rsid w:val="66AF770A"/>
    <w:rsid w:val="67097A7A"/>
    <w:rsid w:val="67514428"/>
    <w:rsid w:val="676A68F6"/>
    <w:rsid w:val="67B67026"/>
    <w:rsid w:val="67E15D1A"/>
    <w:rsid w:val="689E3774"/>
    <w:rsid w:val="68B57927"/>
    <w:rsid w:val="691B5342"/>
    <w:rsid w:val="692F7B39"/>
    <w:rsid w:val="6969152C"/>
    <w:rsid w:val="69941EFA"/>
    <w:rsid w:val="69F51877"/>
    <w:rsid w:val="6A1553CA"/>
    <w:rsid w:val="6A183029"/>
    <w:rsid w:val="6A2574DE"/>
    <w:rsid w:val="6AA1585F"/>
    <w:rsid w:val="6AA626CC"/>
    <w:rsid w:val="6B482372"/>
    <w:rsid w:val="6B987AFF"/>
    <w:rsid w:val="6BBA29C8"/>
    <w:rsid w:val="6C5F6456"/>
    <w:rsid w:val="6C9A3903"/>
    <w:rsid w:val="6D4B0C75"/>
    <w:rsid w:val="6D624DBB"/>
    <w:rsid w:val="6E176E53"/>
    <w:rsid w:val="6E2C6628"/>
    <w:rsid w:val="6F4F1DF7"/>
    <w:rsid w:val="6F532955"/>
    <w:rsid w:val="6F822655"/>
    <w:rsid w:val="6FAA65F2"/>
    <w:rsid w:val="6FF06BA2"/>
    <w:rsid w:val="70F940E0"/>
    <w:rsid w:val="71135BCA"/>
    <w:rsid w:val="718F4CAA"/>
    <w:rsid w:val="71AE4E4A"/>
    <w:rsid w:val="71CD00F5"/>
    <w:rsid w:val="7236639C"/>
    <w:rsid w:val="729445E0"/>
    <w:rsid w:val="729F1EB1"/>
    <w:rsid w:val="72E423EE"/>
    <w:rsid w:val="732B1A78"/>
    <w:rsid w:val="73331E0E"/>
    <w:rsid w:val="74A363AC"/>
    <w:rsid w:val="751101DA"/>
    <w:rsid w:val="752940BF"/>
    <w:rsid w:val="754224BB"/>
    <w:rsid w:val="763F508D"/>
    <w:rsid w:val="765F6C09"/>
    <w:rsid w:val="77212326"/>
    <w:rsid w:val="784D459A"/>
    <w:rsid w:val="786C6182"/>
    <w:rsid w:val="786F0CC3"/>
    <w:rsid w:val="78B611AB"/>
    <w:rsid w:val="78C8649E"/>
    <w:rsid w:val="78CA5774"/>
    <w:rsid w:val="79A206F1"/>
    <w:rsid w:val="79B41487"/>
    <w:rsid w:val="79F70F6A"/>
    <w:rsid w:val="7A1A0999"/>
    <w:rsid w:val="7AEE2981"/>
    <w:rsid w:val="7B0C27F8"/>
    <w:rsid w:val="7B222392"/>
    <w:rsid w:val="7B634F55"/>
    <w:rsid w:val="7BE10C35"/>
    <w:rsid w:val="7C785F84"/>
    <w:rsid w:val="7C9D1B08"/>
    <w:rsid w:val="7CA23EBA"/>
    <w:rsid w:val="7D172435"/>
    <w:rsid w:val="7D3225A2"/>
    <w:rsid w:val="7E2467E5"/>
    <w:rsid w:val="7E730A5A"/>
    <w:rsid w:val="7E807946"/>
    <w:rsid w:val="7F016326"/>
    <w:rsid w:val="7F065B9D"/>
    <w:rsid w:val="7F3D545F"/>
    <w:rsid w:val="7FAF0F44"/>
    <w:rsid w:val="7FF6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jc w:val="center"/>
      <w:outlineLvl w:val="0"/>
    </w:pPr>
    <w:rPr>
      <w:b/>
      <w:kern w:val="44"/>
      <w:sz w:val="32"/>
    </w:rPr>
  </w:style>
  <w:style w:type="paragraph" w:styleId="4">
    <w:name w:val="heading 2"/>
    <w:basedOn w:val="1"/>
    <w:next w:val="1"/>
    <w:qFormat/>
    <w:uiPriority w:val="0"/>
    <w:pPr>
      <w:keepNext/>
      <w:keepLines/>
      <w:spacing w:before="60" w:after="60" w:line="413" w:lineRule="auto"/>
      <w:outlineLvl w:val="1"/>
    </w:pPr>
    <w:rPr>
      <w:rFonts w:ascii="Arial" w:hAnsi="Arial" w:eastAsia="黑体"/>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qFormat/>
    <w:uiPriority w:val="0"/>
    <w:pPr>
      <w:tabs>
        <w:tab w:val="center" w:pos="4153"/>
        <w:tab w:val="right" w:pos="8306"/>
      </w:tabs>
      <w:snapToGrid w:val="0"/>
      <w:jc w:val="left"/>
    </w:pPr>
    <w:rPr>
      <w:sz w:val="18"/>
      <w:szCs w:val="18"/>
    </w:rPr>
  </w:style>
  <w:style w:type="paragraph" w:styleId="5">
    <w:name w:val="Body Text"/>
    <w:basedOn w:val="1"/>
    <w:next w:val="6"/>
    <w:qFormat/>
    <w:uiPriority w:val="0"/>
    <w:pPr>
      <w:spacing w:after="120"/>
    </w:pPr>
  </w:style>
  <w:style w:type="paragraph" w:styleId="6">
    <w:name w:val="toc 2"/>
    <w:basedOn w:val="1"/>
    <w:next w:val="1"/>
    <w:semiHidden/>
    <w:qFormat/>
    <w:uiPriority w:val="0"/>
    <w:pPr>
      <w:ind w:left="210"/>
      <w:jc w:val="left"/>
    </w:pPr>
    <w:rPr>
      <w:rFonts w:ascii="Times New Roman" w:hAnsi="Times New Roman"/>
      <w:smallCaps/>
      <w:sz w:val="20"/>
    </w:rPr>
  </w:style>
  <w:style w:type="paragraph" w:styleId="7">
    <w:name w:val="Body Text Indent"/>
    <w:basedOn w:val="1"/>
    <w:link w:val="32"/>
    <w:qFormat/>
    <w:uiPriority w:val="0"/>
    <w:pPr>
      <w:spacing w:after="120"/>
      <w:ind w:left="420" w:leftChars="200"/>
    </w:p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kern w:val="0"/>
      <w:sz w:val="24"/>
    </w:rPr>
  </w:style>
  <w:style w:type="paragraph" w:styleId="10">
    <w:name w:val="Body Text First Indent 2"/>
    <w:basedOn w:val="7"/>
    <w:link w:val="33"/>
    <w:unhideWhenUsed/>
    <w:qFormat/>
    <w:uiPriority w:val="0"/>
    <w:pPr>
      <w:ind w:firstLine="420" w:firstLineChars="200"/>
    </w:pPr>
    <w:rPr>
      <w:rFonts w:ascii="Times New Roman" w:hAnsi="Times New Roman"/>
      <w:szCs w:val="24"/>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yperlink"/>
    <w:basedOn w:val="12"/>
    <w:qFormat/>
    <w:uiPriority w:val="0"/>
    <w:rPr>
      <w:color w:val="333333"/>
      <w:u w:val="none"/>
    </w:rPr>
  </w:style>
  <w:style w:type="paragraph" w:customStyle="1" w:styleId="17">
    <w:name w:val="引言二级条标题"/>
    <w:basedOn w:val="18"/>
    <w:next w:val="19"/>
    <w:qFormat/>
    <w:uiPriority w:val="0"/>
    <w:pPr>
      <w:ind w:left="0" w:firstLine="0"/>
    </w:pPr>
    <w:rPr>
      <w:rFonts w:eastAsia="宋体"/>
    </w:rPr>
  </w:style>
  <w:style w:type="paragraph" w:customStyle="1" w:styleId="18">
    <w:name w:val="引言一级条标题"/>
    <w:basedOn w:val="1"/>
    <w:next w:val="19"/>
    <w:qFormat/>
    <w:uiPriority w:val="0"/>
    <w:pPr>
      <w:widowControl/>
      <w:spacing w:beforeAutospacing="1" w:afterAutospacing="1"/>
      <w:ind w:left="900" w:hanging="900"/>
    </w:pPr>
    <w:rPr>
      <w:rFonts w:eastAsia="黑体"/>
      <w:b/>
      <w:bCs/>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正文"/>
    <w:basedOn w:val="1"/>
    <w:qFormat/>
    <w:uiPriority w:val="0"/>
    <w:pPr>
      <w:widowControl/>
      <w:spacing w:line="360" w:lineRule="auto"/>
      <w:ind w:firstLine="480" w:firstLineChars="200"/>
      <w:jc w:val="left"/>
    </w:pPr>
    <w:rPr>
      <w:bCs/>
      <w:sz w:val="24"/>
      <w:u w:val="single"/>
    </w:rPr>
  </w:style>
  <w:style w:type="character" w:customStyle="1" w:styleId="21">
    <w:name w:val="页眉 Char"/>
    <w:basedOn w:val="12"/>
    <w:link w:val="8"/>
    <w:qFormat/>
    <w:uiPriority w:val="0"/>
    <w:rPr>
      <w:kern w:val="2"/>
      <w:sz w:val="18"/>
      <w:szCs w:val="18"/>
    </w:rPr>
  </w:style>
  <w:style w:type="character" w:customStyle="1" w:styleId="22">
    <w:name w:val="页脚 Char"/>
    <w:basedOn w:val="12"/>
    <w:link w:val="2"/>
    <w:qFormat/>
    <w:uiPriority w:val="0"/>
    <w:rPr>
      <w:kern w:val="2"/>
      <w:sz w:val="18"/>
      <w:szCs w:val="18"/>
    </w:rPr>
  </w:style>
  <w:style w:type="character" w:customStyle="1" w:styleId="23">
    <w:name w:val="bg-gg-close"/>
    <w:basedOn w:val="12"/>
    <w:qFormat/>
    <w:uiPriority w:val="0"/>
  </w:style>
  <w:style w:type="character" w:customStyle="1" w:styleId="24">
    <w:name w:val="hover"/>
    <w:basedOn w:val="12"/>
    <w:qFormat/>
    <w:uiPriority w:val="0"/>
  </w:style>
  <w:style w:type="character" w:customStyle="1" w:styleId="25">
    <w:name w:val="hover1"/>
    <w:basedOn w:val="12"/>
    <w:qFormat/>
    <w:uiPriority w:val="0"/>
    <w:rPr>
      <w:shd w:val="clear" w:color="auto" w:fill="D43D3D"/>
    </w:rPr>
  </w:style>
  <w:style w:type="character" w:customStyle="1" w:styleId="26">
    <w:name w:val="hover2"/>
    <w:basedOn w:val="12"/>
    <w:qFormat/>
    <w:uiPriority w:val="0"/>
  </w:style>
  <w:style w:type="character" w:customStyle="1" w:styleId="27">
    <w:name w:val="bg-gg-text"/>
    <w:basedOn w:val="12"/>
    <w:qFormat/>
    <w:uiPriority w:val="0"/>
    <w:rPr>
      <w:color w:val="FFFFFF"/>
    </w:rPr>
  </w:style>
  <w:style w:type="character" w:customStyle="1" w:styleId="28">
    <w:name w:val="last-child"/>
    <w:basedOn w:val="12"/>
    <w:qFormat/>
    <w:uiPriority w:val="0"/>
  </w:style>
  <w:style w:type="character" w:customStyle="1" w:styleId="29">
    <w:name w:val="before15"/>
    <w:basedOn w:val="12"/>
    <w:qFormat/>
    <w:uiPriority w:val="0"/>
  </w:style>
  <w:style w:type="character" w:customStyle="1" w:styleId="30">
    <w:name w:val="not-follow"/>
    <w:basedOn w:val="12"/>
    <w:qFormat/>
    <w:uiPriority w:val="0"/>
    <w:rPr>
      <w:color w:val="FFFFFF"/>
      <w:shd w:val="clear" w:color="auto" w:fill="FA3939"/>
    </w:rPr>
  </w:style>
  <w:style w:type="character" w:customStyle="1" w:styleId="31">
    <w:name w:val="after3"/>
    <w:basedOn w:val="12"/>
    <w:qFormat/>
    <w:uiPriority w:val="0"/>
  </w:style>
  <w:style w:type="character" w:customStyle="1" w:styleId="32">
    <w:name w:val="正文文本缩进 Char"/>
    <w:basedOn w:val="12"/>
    <w:link w:val="7"/>
    <w:qFormat/>
    <w:uiPriority w:val="0"/>
    <w:rPr>
      <w:rFonts w:ascii="Calibri" w:hAnsi="Calibri"/>
      <w:kern w:val="2"/>
      <w:sz w:val="21"/>
      <w:szCs w:val="22"/>
    </w:rPr>
  </w:style>
  <w:style w:type="character" w:customStyle="1" w:styleId="33">
    <w:name w:val="正文首行缩进 2 Char"/>
    <w:basedOn w:val="32"/>
    <w:link w:val="10"/>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1478</Words>
  <Characters>8427</Characters>
  <Lines>70</Lines>
  <Paragraphs>19</Paragraphs>
  <TotalTime>11</TotalTime>
  <ScaleCrop>false</ScaleCrop>
  <LinksUpToDate>false</LinksUpToDate>
  <CharactersWithSpaces>9886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2021-11-10T03:04:00Z</dcterms:created>
  <dc:creator>川爺</dc:creator>
  <cp:lastModifiedBy>河池市城投公司</cp:lastModifiedBy>
  <cp:lastPrinted>2021-06-02T03:17:00Z</cp:lastPrinted>
  <dcterms:modified xsi:type="dcterms:W3CDTF">2021-11-26T00:42:30Z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ED27AA75A930435399B00CCE4C6EEBD6</vt:lpwstr>
  </property>
</Properties>
</file>