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default"/>
          <w:color w:val="auto"/>
          <w:highlight w:val="none"/>
          <w:lang w:val="en-US" w:eastAsia="zh-CN"/>
        </w:rPr>
      </w:pPr>
    </w:p>
    <w:p>
      <w:pPr>
        <w:numPr>
          <w:ilvl w:val="0"/>
          <w:numId w:val="0"/>
        </w:numPr>
        <w:spacing w:line="360" w:lineRule="auto"/>
        <w:jc w:val="left"/>
        <w:rPr>
          <w:rFonts w:hint="default" w:ascii="仿宋_GB2312" w:hAnsi="仿宋" w:eastAsia="仿宋_GB2312" w:cs="仿宋"/>
          <w:bCs/>
          <w:color w:val="auto"/>
          <w:sz w:val="32"/>
          <w:szCs w:val="32"/>
          <w:highlight w:val="none"/>
          <w:lang w:val="en-US" w:eastAsia="zh-CN"/>
        </w:rPr>
      </w:pPr>
      <w:r>
        <w:rPr>
          <w:rFonts w:hint="eastAsia" w:ascii="仿宋_GB2312" w:hAnsi="仿宋" w:eastAsia="仿宋_GB2312" w:cs="仿宋"/>
          <w:bCs/>
          <w:color w:val="auto"/>
          <w:sz w:val="32"/>
          <w:szCs w:val="32"/>
          <w:highlight w:val="none"/>
          <w:lang w:val="en-US" w:eastAsia="zh-CN"/>
        </w:rPr>
        <w:t>附件1</w:t>
      </w:r>
    </w:p>
    <w:p>
      <w:pPr>
        <w:pStyle w:val="11"/>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default"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eastAsia"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项目名称：</w:t>
      </w:r>
      <w:r>
        <w:rPr>
          <w:rFonts w:hint="eastAsia" w:ascii="宋体" w:hAnsi="宋体" w:eastAsia="宋体" w:cs="Times New Roman"/>
          <w:color w:val="auto"/>
          <w:kern w:val="2"/>
          <w:sz w:val="28"/>
          <w:szCs w:val="28"/>
          <w:highlight w:val="none"/>
          <w:u w:val="single"/>
          <w:lang w:val="en-US" w:eastAsia="zh-CN" w:bidi="ar-SA"/>
        </w:rPr>
        <w:t>“</w:t>
      </w:r>
      <w:r>
        <w:rPr>
          <w:rFonts w:hint="eastAsia" w:hAnsi="宋体" w:eastAsia="宋体" w:cs="Times New Roman"/>
          <w:color w:val="auto"/>
          <w:sz w:val="28"/>
          <w:szCs w:val="28"/>
          <w:highlight w:val="none"/>
          <w:u w:val="single"/>
          <w:lang w:val="en-US" w:eastAsia="zh-CN"/>
        </w:rPr>
        <w:t>泰枫名郡</w:t>
      </w:r>
      <w:r>
        <w:rPr>
          <w:rFonts w:hint="eastAsia" w:ascii="宋体" w:hAnsi="宋体" w:eastAsia="宋体" w:cs="Times New Roman"/>
          <w:color w:val="auto"/>
          <w:kern w:val="2"/>
          <w:sz w:val="28"/>
          <w:szCs w:val="28"/>
          <w:highlight w:val="none"/>
          <w:u w:val="single"/>
          <w:lang w:val="en-US" w:eastAsia="zh-CN" w:bidi="ar-SA"/>
        </w:rPr>
        <w:t>”</w:t>
      </w:r>
      <w:r>
        <w:rPr>
          <w:rFonts w:hint="eastAsia" w:hAnsi="宋体" w:eastAsia="宋体" w:cs="Times New Roman"/>
          <w:color w:val="auto"/>
          <w:sz w:val="28"/>
          <w:szCs w:val="28"/>
          <w:highlight w:val="none"/>
          <w:u w:val="single"/>
          <w:lang w:val="en-US" w:eastAsia="zh-CN"/>
        </w:rPr>
        <w:t>项目公司收购</w:t>
      </w:r>
      <w:r>
        <w:rPr>
          <w:rFonts w:hint="eastAsia" w:ascii="宋体" w:hAnsi="宋体" w:eastAsia="宋体" w:cs="Times New Roman"/>
          <w:color w:val="auto"/>
          <w:kern w:val="2"/>
          <w:sz w:val="28"/>
          <w:szCs w:val="28"/>
          <w:highlight w:val="none"/>
          <w:u w:val="single"/>
          <w:lang w:val="en-US" w:eastAsia="zh-CN" w:bidi="ar-SA"/>
        </w:rPr>
        <w:t>（</w:t>
      </w:r>
      <w:r>
        <w:rPr>
          <w:rFonts w:hint="eastAsia" w:hAnsi="宋体" w:eastAsia="宋体" w:cs="Times New Roman"/>
          <w:color w:val="auto"/>
          <w:sz w:val="28"/>
          <w:szCs w:val="28"/>
          <w:highlight w:val="none"/>
          <w:u w:val="single"/>
          <w:lang w:val="en-US" w:eastAsia="zh-CN"/>
        </w:rPr>
        <w:t>投资风险防控评估</w:t>
      </w:r>
      <w:r>
        <w:rPr>
          <w:rFonts w:hint="eastAsia" w:ascii="宋体" w:hAnsi="宋体" w:eastAsia="宋体" w:cs="Times New Roman"/>
          <w:color w:val="auto"/>
          <w:kern w:val="2"/>
          <w:sz w:val="28"/>
          <w:szCs w:val="28"/>
          <w:highlight w:val="none"/>
          <w:u w:val="single"/>
          <w:lang w:val="en-US" w:eastAsia="zh-CN" w:bidi="ar-SA"/>
        </w:rPr>
        <w:t>）</w:t>
      </w:r>
      <w:r>
        <w:rPr>
          <w:rFonts w:hint="eastAsia" w:ascii="宋体" w:hAnsi="宋体" w:eastAsia="宋体" w:cs="Times New Roman"/>
          <w:color w:val="auto"/>
          <w:kern w:val="2"/>
          <w:sz w:val="28"/>
          <w:szCs w:val="28"/>
          <w:highlight w:val="none"/>
          <w:u w:val="none"/>
          <w:lang w:val="en-US" w:eastAsia="zh-CN" w:bidi="ar-SA"/>
        </w:rPr>
        <w:t>。</w:t>
      </w:r>
    </w:p>
    <w:p>
      <w:pPr>
        <w:spacing w:line="360" w:lineRule="auto"/>
        <w:ind w:firstLine="3640" w:firstLineChars="1300"/>
        <w:rPr>
          <w:rFonts w:hint="default"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 xml:space="preserve">HCCT20211009号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1680" w:firstLineChars="6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4760" w:firstLineChars="17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年   月   日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rPr>
          <w:rFonts w:hint="eastAsia" w:ascii="宋体" w:hAnsi="宋体" w:eastAsia="宋体" w:cs="宋体"/>
          <w:b/>
          <w:bCs/>
          <w:color w:val="auto"/>
          <w:sz w:val="48"/>
          <w:szCs w:val="48"/>
          <w:highlight w:val="none"/>
        </w:rPr>
      </w:pPr>
      <w:r>
        <w:rPr>
          <w:rFonts w:hint="eastAsia" w:ascii="仿宋_GB2312" w:eastAsia="仿宋_GB2312"/>
          <w:color w:val="auto"/>
          <w:highlight w:val="none"/>
        </w:rPr>
        <w:t>注：最高上限控制价为</w:t>
      </w:r>
      <w:r>
        <w:rPr>
          <w:rFonts w:hint="eastAsia" w:ascii="仿宋_GB2312" w:eastAsia="仿宋_GB2312"/>
          <w:color w:val="auto"/>
          <w:highlight w:val="none"/>
          <w:lang w:val="en-US" w:eastAsia="zh-CN"/>
        </w:rPr>
        <w:t>人民币100000.00元</w:t>
      </w:r>
      <w:r>
        <w:rPr>
          <w:rFonts w:hint="eastAsia" w:ascii="仿宋_GB2312" w:eastAsia="仿宋_GB2312"/>
          <w:color w:val="auto"/>
          <w:highlight w:val="none"/>
        </w:rPr>
        <w:t>，金额大小写要一致，否则无效。</w:t>
      </w:r>
    </w:p>
    <w:p>
      <w:pPr>
        <w:jc w:val="distribute"/>
        <w:rPr>
          <w:rFonts w:hint="eastAsia" w:ascii="宋体" w:hAnsi="宋体" w:eastAsia="宋体" w:cs="宋体"/>
          <w:b/>
          <w:bCs/>
          <w:color w:val="auto"/>
          <w:sz w:val="48"/>
          <w:szCs w:val="48"/>
          <w:highlight w:val="none"/>
        </w:rPr>
      </w:pPr>
    </w:p>
    <w:p>
      <w:pPr>
        <w:jc w:val="distribute"/>
        <w:rPr>
          <w:rFonts w:hint="eastAsia" w:ascii="宋体" w:hAnsi="宋体" w:eastAsia="宋体" w:cs="宋体"/>
          <w:b/>
          <w:bCs/>
          <w:color w:val="auto"/>
          <w:sz w:val="48"/>
          <w:szCs w:val="48"/>
          <w:highlight w:val="none"/>
        </w:rPr>
      </w:pPr>
    </w:p>
    <w:p>
      <w:pPr>
        <w:jc w:val="distribute"/>
        <w:rPr>
          <w:rFonts w:hint="eastAsia" w:ascii="宋体" w:hAnsi="宋体" w:eastAsia="宋体" w:cs="宋体"/>
          <w:b/>
          <w:bCs/>
          <w:color w:val="auto"/>
          <w:sz w:val="48"/>
          <w:szCs w:val="48"/>
          <w:highlight w:val="none"/>
        </w:rPr>
      </w:pPr>
      <w:bookmarkStart w:id="1" w:name="_GoBack"/>
      <w:bookmarkEnd w:id="1"/>
      <w:r>
        <w:rPr>
          <w:rFonts w:hint="eastAsia" w:ascii="宋体" w:hAnsi="宋体" w:eastAsia="宋体" w:cs="宋体"/>
          <w:b/>
          <w:bCs/>
          <w:color w:val="auto"/>
          <w:sz w:val="48"/>
          <w:szCs w:val="48"/>
          <w:highlight w:val="none"/>
        </w:rPr>
        <w:t>河池市城市投资建设发展有限公司</w:t>
      </w:r>
    </w:p>
    <w:p>
      <w:pPr>
        <w:spacing w:line="800" w:lineRule="exact"/>
        <w:jc w:val="distribute"/>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100330</wp:posOffset>
                </wp:positionV>
                <wp:extent cx="5375275" cy="0"/>
                <wp:effectExtent l="0" t="12700" r="15875" b="15875"/>
                <wp:wrapNone/>
                <wp:docPr id="3" name="直接箭头连接符 3"/>
                <wp:cNvGraphicFramePr/>
                <a:graphic xmlns:a="http://schemas.openxmlformats.org/drawingml/2006/main">
                  <a:graphicData uri="http://schemas.microsoft.com/office/word/2010/wordprocessingShape">
                    <wps:wsp>
                      <wps:cNvCnPr/>
                      <wps:spPr>
                        <a:xfrm>
                          <a:off x="0" y="0"/>
                          <a:ext cx="5375275" cy="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45pt;margin-top:7.9pt;height:0pt;width:423.25pt;z-index:251660288;mso-width-relative:page;mso-height-relative:page;" filled="f" stroked="t" coordsize="21600,21600" o:gfxdata="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GNcnTAAAABgEAAA8AAAAAAAAAAQAgAAAAIgAAAGRycy9kb3ducmV2&#10;LnhtbFBLAQIUABQAAAAIAIdO4kCLq4ncAQIAAO0DAAAOAAAAAAAAAAEAIAAAACIBAABkcnMvZTJv&#10;RG9jLnhtbFBLBQYAAAAABgAGAFkBAACVBQAAAAA=&#10;">
                <v:fill on="f" focussize="0,0"/>
                <v:stroke weight="2pt" color="#FF0000" joinstyle="round"/>
                <v:imagedata o:title=""/>
                <o:lock v:ext="edit" aspectratio="f"/>
              </v:shape>
            </w:pict>
          </mc:Fallback>
        </mc:AlternateContent>
      </w:r>
    </w:p>
    <w:p>
      <w:pPr>
        <w:spacing w:line="800" w:lineRule="exact"/>
        <w:jc w:val="distribute"/>
        <w:rPr>
          <w:rFonts w:hint="eastAsia" w:ascii="宋体" w:hAnsi="宋体" w:eastAsia="宋体" w:cs="宋体"/>
          <w:b/>
          <w:bCs/>
          <w:color w:val="auto"/>
          <w:sz w:val="48"/>
          <w:szCs w:val="48"/>
          <w:highlight w:val="none"/>
        </w:rPr>
      </w:pPr>
    </w:p>
    <w:p>
      <w:pPr>
        <w:spacing w:line="800" w:lineRule="exact"/>
        <w:jc w:val="distribute"/>
        <w:rPr>
          <w:rFonts w:hint="eastAsia" w:ascii="宋体" w:hAnsi="宋体" w:eastAsia="宋体" w:cs="宋体"/>
          <w:b/>
          <w:bCs/>
          <w:color w:val="auto"/>
          <w:sz w:val="48"/>
          <w:szCs w:val="48"/>
          <w:highlight w:val="none"/>
        </w:rPr>
      </w:pP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工程</w:t>
      </w:r>
      <w:r>
        <w:rPr>
          <w:rFonts w:hint="eastAsia" w:ascii="宋体" w:hAnsi="宋体" w:eastAsia="宋体" w:cs="宋体"/>
          <w:b/>
          <w:bCs/>
          <w:color w:val="auto"/>
          <w:sz w:val="72"/>
          <w:szCs w:val="72"/>
          <w:highlight w:val="none"/>
          <w:lang w:val="en-US" w:eastAsia="zh-CN"/>
        </w:rPr>
        <w:t>咨询</w:t>
      </w:r>
      <w:r>
        <w:rPr>
          <w:rFonts w:hint="eastAsia" w:ascii="宋体" w:hAnsi="宋体" w:eastAsia="宋体" w:cs="宋体"/>
          <w:b/>
          <w:bCs/>
          <w:color w:val="auto"/>
          <w:sz w:val="72"/>
          <w:szCs w:val="72"/>
          <w:highlight w:val="none"/>
        </w:rPr>
        <w:t>服务合同</w:t>
      </w:r>
    </w:p>
    <w:p>
      <w:pPr>
        <w:autoSpaceDE w:val="0"/>
        <w:autoSpaceDN w:val="0"/>
        <w:adjustRightInd w:val="0"/>
        <w:rPr>
          <w:rFonts w:hint="eastAsia" w:ascii="宋体" w:hAnsi="宋体" w:eastAsia="宋体" w:cs="宋体"/>
          <w:color w:val="auto"/>
          <w:sz w:val="28"/>
          <w:highlight w:val="none"/>
        </w:rPr>
      </w:pPr>
    </w:p>
    <w:p>
      <w:pPr>
        <w:autoSpaceDE w:val="0"/>
        <w:autoSpaceDN w:val="0"/>
        <w:adjustRightInd w:val="0"/>
        <w:rPr>
          <w:rFonts w:hint="eastAsia" w:ascii="宋体" w:hAnsi="宋体" w:eastAsia="宋体" w:cs="宋体"/>
          <w:color w:val="auto"/>
          <w:sz w:val="28"/>
          <w:highlight w:val="none"/>
        </w:rPr>
      </w:pPr>
    </w:p>
    <w:p>
      <w:pPr>
        <w:autoSpaceDE w:val="0"/>
        <w:autoSpaceDN w:val="0"/>
        <w:adjustRightInd w:val="0"/>
        <w:rPr>
          <w:rFonts w:hint="eastAsia" w:ascii="宋体" w:hAnsi="宋体" w:eastAsia="宋体" w:cs="宋体"/>
          <w:color w:val="auto"/>
          <w:sz w:val="28"/>
          <w:highlight w:val="none"/>
        </w:rPr>
      </w:pPr>
    </w:p>
    <w:p>
      <w:pPr>
        <w:autoSpaceDE w:val="0"/>
        <w:autoSpaceDN w:val="0"/>
        <w:adjustRightInd w:val="0"/>
        <w:ind w:firstLine="280" w:firstLineChars="100"/>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highlight w:val="none"/>
        </w:rPr>
        <w:t>项目名称：</w:t>
      </w:r>
      <w:bookmarkStart w:id="0" w:name="_Hlt115945653"/>
      <w:bookmarkEnd w:id="0"/>
      <w:r>
        <w:rPr>
          <w:rFonts w:hint="eastAsia" w:ascii="宋体" w:hAnsi="宋体" w:eastAsia="宋体" w:cs="宋体"/>
          <w:color w:val="auto"/>
          <w:sz w:val="28"/>
          <w:szCs w:val="28"/>
          <w:highlight w:val="none"/>
          <w:u w:val="single"/>
          <w:lang w:val="en-US" w:eastAsia="zh-CN"/>
        </w:rPr>
        <w:t>“泰枫名郡”项目公司收购</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p>
    <w:p>
      <w:pPr>
        <w:autoSpaceDE w:val="0"/>
        <w:autoSpaceDN w:val="0"/>
        <w:adjustRightInd w:val="0"/>
        <w:ind w:firstLine="280" w:firstLineChars="100"/>
        <w:rPr>
          <w:rFonts w:hint="eastAsia" w:ascii="宋体" w:hAnsi="宋体" w:eastAsia="宋体" w:cs="宋体"/>
          <w:bCs/>
          <w:color w:val="auto"/>
          <w:kern w:val="0"/>
          <w:sz w:val="28"/>
          <w:szCs w:val="28"/>
          <w:highlight w:val="none"/>
        </w:rPr>
      </w:pPr>
      <w:r>
        <w:rPr>
          <w:rFonts w:hint="eastAsia" w:ascii="宋体" w:hAnsi="宋体" w:eastAsia="宋体" w:cs="宋体"/>
          <w:color w:val="auto"/>
          <w:sz w:val="28"/>
          <w:szCs w:val="28"/>
          <w:highlight w:val="none"/>
        </w:rPr>
        <w:t>项目地点：</w:t>
      </w:r>
      <w:r>
        <w:rPr>
          <w:rFonts w:hint="eastAsia" w:ascii="宋体" w:hAnsi="宋体" w:eastAsia="宋体" w:cs="宋体"/>
          <w:color w:val="auto"/>
          <w:sz w:val="28"/>
          <w:szCs w:val="28"/>
          <w:highlight w:val="none"/>
          <w:u w:val="single"/>
        </w:rPr>
        <w:t xml:space="preserve">河池市宜州区                         </w:t>
      </w:r>
      <w:r>
        <w:rPr>
          <w:rFonts w:hint="eastAsia" w:ascii="宋体" w:hAnsi="宋体" w:eastAsia="宋体" w:cs="宋体"/>
          <w:color w:val="auto"/>
          <w:sz w:val="28"/>
          <w:szCs w:val="28"/>
          <w:highlight w:val="none"/>
        </w:rPr>
        <w:t xml:space="preserve">        </w:t>
      </w:r>
    </w:p>
    <w:p>
      <w:pPr>
        <w:ind w:firstLine="280" w:firstLineChars="100"/>
        <w:rPr>
          <w:rFonts w:hint="eastAsia" w:ascii="宋体" w:hAnsi="宋体" w:eastAsia="宋体" w:cs="宋体"/>
          <w:color w:val="auto"/>
          <w:sz w:val="28"/>
          <w:highlight w:val="none"/>
          <w:u w:val="single"/>
          <w:lang w:val="en-US" w:eastAsia="zh-CN"/>
        </w:rPr>
      </w:pPr>
      <w:r>
        <w:rPr>
          <w:rFonts w:hint="eastAsia" w:ascii="宋体" w:hAnsi="宋体" w:eastAsia="宋体" w:cs="宋体"/>
          <w:color w:val="auto"/>
          <w:sz w:val="28"/>
          <w:highlight w:val="none"/>
        </w:rPr>
        <w:t>服务类别：</w:t>
      </w:r>
      <w:r>
        <w:rPr>
          <w:rFonts w:hint="eastAsia" w:ascii="宋体" w:hAnsi="宋体" w:eastAsia="宋体" w:cs="宋体"/>
          <w:color w:val="auto"/>
          <w:sz w:val="28"/>
          <w:szCs w:val="28"/>
          <w:highlight w:val="none"/>
          <w:u w:val="single"/>
          <w:lang w:val="en-US" w:eastAsia="zh-CN"/>
        </w:rPr>
        <w:t>投资风险防控评估</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u w:val="single"/>
          <w:lang w:val="en-US" w:eastAsia="zh-CN"/>
        </w:rPr>
        <w:t xml:space="preserve">   </w:t>
      </w:r>
    </w:p>
    <w:p>
      <w:pPr>
        <w:ind w:firstLine="280" w:firstLineChars="100"/>
        <w:rPr>
          <w:rFonts w:hint="eastAsia" w:ascii="宋体" w:hAnsi="宋体" w:eastAsia="宋体" w:cs="宋体"/>
          <w:color w:val="auto"/>
          <w:sz w:val="28"/>
          <w:highlight w:val="none"/>
          <w:u w:val="single"/>
        </w:rPr>
      </w:pPr>
      <w:r>
        <w:rPr>
          <w:rFonts w:hint="eastAsia" w:ascii="宋体" w:hAnsi="宋体" w:eastAsia="宋体" w:cs="宋体"/>
          <w:color w:val="auto"/>
          <w:sz w:val="28"/>
          <w:highlight w:val="none"/>
        </w:rPr>
        <w:t>合同编号：</w:t>
      </w:r>
      <w:r>
        <w:rPr>
          <w:rFonts w:hint="eastAsia" w:ascii="宋体" w:hAnsi="宋体" w:eastAsia="宋体" w:cs="宋体"/>
          <w:color w:val="auto"/>
          <w:sz w:val="28"/>
          <w:highlight w:val="none"/>
          <w:u w:val="single"/>
        </w:rPr>
        <w:t xml:space="preserve">   </w:t>
      </w:r>
      <w:r>
        <w:rPr>
          <w:rFonts w:hint="eastAsia" w:ascii="宋体" w:hAnsi="宋体" w:eastAsia="宋体" w:cs="宋体"/>
          <w:color w:val="auto"/>
          <w:sz w:val="28"/>
          <w:highlight w:val="none"/>
          <w:u w:val="single"/>
          <w:lang w:val="en-US" w:eastAsia="zh-CN"/>
        </w:rPr>
        <w:t xml:space="preserve">               </w:t>
      </w:r>
      <w:r>
        <w:rPr>
          <w:rFonts w:hint="eastAsia" w:ascii="宋体" w:hAnsi="宋体" w:eastAsia="宋体" w:cs="宋体"/>
          <w:color w:val="auto"/>
          <w:sz w:val="28"/>
          <w:highlight w:val="none"/>
          <w:u w:val="single"/>
        </w:rPr>
        <w:t xml:space="preserve">                   </w:t>
      </w:r>
    </w:p>
    <w:p>
      <w:pPr>
        <w:jc w:val="left"/>
        <w:rPr>
          <w:rFonts w:hint="eastAsia" w:ascii="宋体" w:hAnsi="宋体" w:eastAsia="宋体" w:cs="宋体"/>
          <w:color w:val="auto"/>
          <w:sz w:val="28"/>
          <w:szCs w:val="28"/>
          <w:highlight w:val="none"/>
        </w:rPr>
      </w:pPr>
    </w:p>
    <w:p>
      <w:pPr>
        <w:jc w:val="left"/>
        <w:rPr>
          <w:rFonts w:hint="eastAsia" w:ascii="宋体" w:hAnsi="宋体" w:eastAsia="宋体" w:cs="宋体"/>
          <w:color w:val="auto"/>
          <w:sz w:val="28"/>
          <w:szCs w:val="28"/>
          <w:highlight w:val="none"/>
        </w:rPr>
      </w:pPr>
    </w:p>
    <w:p>
      <w:pPr>
        <w:ind w:firstLine="1540" w:firstLineChars="550"/>
        <w:jc w:val="left"/>
        <w:rPr>
          <w:rFonts w:hint="eastAsia" w:ascii="宋体" w:hAnsi="宋体" w:eastAsia="宋体" w:cs="宋体"/>
          <w:b/>
          <w:snapToGrid w:val="0"/>
          <w:color w:val="auto"/>
          <w:sz w:val="28"/>
          <w:szCs w:val="28"/>
          <w:highlight w:val="none"/>
          <w:lang w:val="en-US" w:eastAsia="zh-CN"/>
        </w:rPr>
      </w:pPr>
      <w:r>
        <w:rPr>
          <w:rFonts w:hint="eastAsia" w:ascii="宋体" w:hAnsi="宋体" w:eastAsia="宋体" w:cs="宋体"/>
          <w:color w:val="auto"/>
          <w:sz w:val="28"/>
          <w:szCs w:val="28"/>
          <w:highlight w:val="none"/>
        </w:rPr>
        <w:t>委 托 人</w:t>
      </w:r>
      <w:r>
        <w:rPr>
          <w:rFonts w:hint="eastAsia" w:ascii="宋体" w:hAnsi="宋体" w:eastAsia="宋体" w:cs="宋体"/>
          <w:color w:val="auto"/>
          <w:sz w:val="28"/>
          <w:highlight w:val="none"/>
        </w:rPr>
        <w:t>：</w:t>
      </w:r>
      <w:r>
        <w:rPr>
          <w:rFonts w:hint="eastAsia" w:ascii="宋体" w:hAnsi="宋体" w:eastAsia="宋体" w:cs="宋体"/>
          <w:b/>
          <w:snapToGrid w:val="0"/>
          <w:color w:val="auto"/>
          <w:sz w:val="28"/>
          <w:szCs w:val="28"/>
          <w:highlight w:val="none"/>
        </w:rPr>
        <w:t>河池市</w:t>
      </w:r>
      <w:r>
        <w:rPr>
          <w:rFonts w:hint="eastAsia" w:ascii="宋体" w:hAnsi="宋体" w:eastAsia="宋体" w:cs="宋体"/>
          <w:b/>
          <w:snapToGrid w:val="0"/>
          <w:color w:val="auto"/>
          <w:sz w:val="28"/>
          <w:szCs w:val="28"/>
          <w:highlight w:val="none"/>
          <w:lang w:val="en-US" w:eastAsia="zh-CN"/>
        </w:rPr>
        <w:t>城市投资建设发展有限公司</w:t>
      </w:r>
    </w:p>
    <w:p>
      <w:pPr>
        <w:ind w:firstLine="1540" w:firstLineChars="550"/>
        <w:jc w:val="left"/>
        <w:rPr>
          <w:rFonts w:hint="eastAsia" w:ascii="宋体" w:hAnsi="宋体" w:eastAsia="宋体" w:cs="宋体"/>
          <w:color w:val="auto"/>
          <w:sz w:val="28"/>
          <w:szCs w:val="28"/>
          <w:highlight w:val="none"/>
        </w:rPr>
        <w:sectPr>
          <w:headerReference r:id="rId4" w:type="first"/>
          <w:footerReference r:id="rId7" w:type="first"/>
          <w:footerReference r:id="rId5" w:type="default"/>
          <w:headerReference r:id="rId3" w:type="even"/>
          <w:footerReference r:id="rId6" w:type="even"/>
          <w:pgSz w:w="11906" w:h="16838"/>
          <w:pgMar w:top="2098" w:right="1474" w:bottom="1247" w:left="1587" w:header="964" w:footer="964" w:gutter="0"/>
          <w:pgNumType w:fmt="decimal" w:start="1"/>
          <w:cols w:space="425" w:num="1"/>
          <w:titlePg/>
          <w:docGrid w:type="lines" w:linePitch="312" w:charSpace="0"/>
        </w:sectPr>
      </w:pPr>
      <w:r>
        <w:rPr>
          <w:rFonts w:hint="eastAsia" w:ascii="宋体" w:hAnsi="宋体" w:eastAsia="宋体" w:cs="宋体"/>
          <w:color w:val="auto"/>
          <w:sz w:val="28"/>
          <w:szCs w:val="28"/>
          <w:highlight w:val="none"/>
        </w:rPr>
        <w:t>受 托 人</w:t>
      </w:r>
      <w:r>
        <w:rPr>
          <w:rFonts w:hint="eastAsia" w:ascii="宋体" w:hAnsi="宋体" w:eastAsia="宋体" w:cs="宋体"/>
          <w:color w:val="auto"/>
          <w:sz w:val="28"/>
          <w:highlight w:val="none"/>
        </w:rPr>
        <w:t>：</w:t>
      </w:r>
    </w:p>
    <w:p>
      <w:pPr>
        <w:jc w:val="center"/>
        <w:rPr>
          <w:rFonts w:hint="eastAsia" w:ascii="宋体" w:hAnsi="宋体" w:eastAsia="宋体" w:cs="宋体"/>
          <w:b/>
          <w:bCs/>
          <w:color w:val="auto"/>
          <w:sz w:val="72"/>
          <w:highlight w:val="none"/>
        </w:rPr>
      </w:pPr>
      <w:r>
        <w:rPr>
          <w:rFonts w:hint="eastAsia" w:ascii="宋体" w:hAnsi="宋体" w:eastAsia="宋体" w:cs="宋体"/>
          <w:b/>
          <w:bCs/>
          <w:color w:val="auto"/>
          <w:sz w:val="44"/>
          <w:szCs w:val="44"/>
          <w:highlight w:val="none"/>
        </w:rPr>
        <w:t>工程</w:t>
      </w:r>
      <w:r>
        <w:rPr>
          <w:rFonts w:hint="eastAsia" w:ascii="宋体" w:hAnsi="宋体" w:eastAsia="宋体" w:cs="宋体"/>
          <w:b/>
          <w:bCs/>
          <w:color w:val="auto"/>
          <w:sz w:val="44"/>
          <w:szCs w:val="44"/>
          <w:highlight w:val="none"/>
          <w:lang w:val="en-US" w:eastAsia="zh-CN"/>
        </w:rPr>
        <w:t>咨询</w:t>
      </w:r>
      <w:r>
        <w:rPr>
          <w:rFonts w:hint="eastAsia" w:ascii="宋体" w:hAnsi="宋体" w:eastAsia="宋体" w:cs="宋体"/>
          <w:b/>
          <w:bCs/>
          <w:color w:val="auto"/>
          <w:sz w:val="44"/>
          <w:szCs w:val="44"/>
          <w:highlight w:val="none"/>
        </w:rPr>
        <w:t>服务合同</w:t>
      </w:r>
    </w:p>
    <w:p>
      <w:pPr>
        <w:tabs>
          <w:tab w:val="left" w:pos="0"/>
        </w:tabs>
        <w:spacing w:line="440" w:lineRule="exact"/>
        <w:jc w:val="left"/>
        <w:rPr>
          <w:rFonts w:hint="eastAsia" w:ascii="宋体" w:hAnsi="宋体"/>
          <w:b/>
          <w:color w:val="auto"/>
          <w:sz w:val="24"/>
          <w:highlight w:val="none"/>
        </w:rPr>
      </w:pPr>
    </w:p>
    <w:p>
      <w:pPr>
        <w:tabs>
          <w:tab w:val="left" w:pos="0"/>
        </w:tabs>
        <w:spacing w:line="440" w:lineRule="exact"/>
        <w:jc w:val="left"/>
        <w:rPr>
          <w:rFonts w:hint="default" w:ascii="宋体" w:hAnsi="宋体" w:eastAsiaTheme="minorEastAsia"/>
          <w:color w:val="auto"/>
          <w:sz w:val="24"/>
          <w:highlight w:val="none"/>
          <w:lang w:val="en-US" w:eastAsia="zh-CN"/>
        </w:rPr>
      </w:pPr>
      <w:r>
        <w:rPr>
          <w:rFonts w:hint="eastAsia" w:ascii="宋体" w:hAnsi="宋体"/>
          <w:b/>
          <w:color w:val="auto"/>
          <w:sz w:val="24"/>
          <w:highlight w:val="none"/>
        </w:rPr>
        <w:t>委托人（甲方）</w:t>
      </w:r>
      <w:r>
        <w:rPr>
          <w:rFonts w:hint="eastAsia" w:ascii="宋体" w:hAnsi="宋体"/>
          <w:color w:val="auto"/>
          <w:sz w:val="24"/>
          <w:highlight w:val="none"/>
        </w:rPr>
        <w:t>：</w:t>
      </w:r>
      <w:r>
        <w:rPr>
          <w:rFonts w:hint="eastAsia" w:ascii="宋体" w:hAnsi="宋体"/>
          <w:b/>
          <w:bCs/>
          <w:color w:val="auto"/>
          <w:sz w:val="24"/>
          <w:highlight w:val="none"/>
          <w:u w:val="single"/>
        </w:rPr>
        <w:t>河池市</w:t>
      </w:r>
      <w:r>
        <w:rPr>
          <w:rFonts w:hint="eastAsia" w:ascii="宋体" w:hAnsi="宋体"/>
          <w:b/>
          <w:bCs/>
          <w:color w:val="auto"/>
          <w:sz w:val="24"/>
          <w:highlight w:val="none"/>
          <w:u w:val="single"/>
          <w:lang w:val="en-US" w:eastAsia="zh-CN"/>
        </w:rPr>
        <w:t>城市投资建设发展有限公司</w:t>
      </w:r>
      <w:r>
        <w:rPr>
          <w:rFonts w:hint="eastAsia" w:ascii="宋体" w:hAnsi="宋体"/>
          <w:color w:val="auto"/>
          <w:sz w:val="24"/>
          <w:highlight w:val="none"/>
          <w:u w:val="single"/>
        </w:rPr>
        <w:t xml:space="preserve"> </w:t>
      </w:r>
    </w:p>
    <w:p>
      <w:pPr>
        <w:spacing w:line="440" w:lineRule="exact"/>
        <w:rPr>
          <w:rFonts w:hint="eastAsia" w:ascii="宋体" w:hAnsi="宋体"/>
          <w:b/>
          <w:bCs/>
          <w:color w:val="auto"/>
          <w:sz w:val="24"/>
          <w:highlight w:val="none"/>
          <w:u w:val="single"/>
        </w:rPr>
      </w:pPr>
      <w:r>
        <w:rPr>
          <w:rFonts w:hint="eastAsia" w:ascii="宋体" w:hAnsi="宋体"/>
          <w:b/>
          <w:color w:val="auto"/>
          <w:sz w:val="24"/>
          <w:highlight w:val="none"/>
        </w:rPr>
        <w:t>受托人（乙方）</w:t>
      </w:r>
      <w:r>
        <w:rPr>
          <w:rFonts w:hint="eastAsia" w:ascii="宋体" w:hAnsi="宋体"/>
          <w:color w:val="auto"/>
          <w:sz w:val="24"/>
          <w:highlight w:val="none"/>
        </w:rPr>
        <w:t>：</w:t>
      </w:r>
      <w:r>
        <w:rPr>
          <w:rFonts w:hint="eastAsia" w:ascii="宋体" w:hAnsi="宋体"/>
          <w:b/>
          <w:color w:val="auto"/>
          <w:sz w:val="24"/>
          <w:highlight w:val="none"/>
          <w:u w:val="single"/>
          <w:lang w:val="en-US" w:eastAsia="zh-CN"/>
        </w:rPr>
        <w:t xml:space="preserve">                             </w:t>
      </w:r>
      <w:r>
        <w:rPr>
          <w:rFonts w:hint="eastAsia" w:ascii="宋体" w:hAnsi="宋体"/>
          <w:b/>
          <w:bCs/>
          <w:color w:val="auto"/>
          <w:sz w:val="24"/>
          <w:highlight w:val="none"/>
          <w:u w:val="single"/>
        </w:rPr>
        <w:t xml:space="preserve">  </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依据《中华人民共和国</w:t>
      </w:r>
      <w:r>
        <w:rPr>
          <w:rFonts w:hint="eastAsia" w:ascii="宋体" w:hAnsi="宋体" w:eastAsia="宋体" w:cs="Times New Roman"/>
          <w:color w:val="auto"/>
          <w:sz w:val="28"/>
          <w:szCs w:val="28"/>
          <w:highlight w:val="none"/>
          <w:lang w:eastAsia="zh-CN"/>
        </w:rPr>
        <w:t>民法典</w:t>
      </w:r>
      <w:r>
        <w:rPr>
          <w:rFonts w:hint="eastAsia" w:ascii="宋体" w:hAnsi="宋体" w:eastAsia="宋体" w:cs="Times New Roman"/>
          <w:color w:val="auto"/>
          <w:sz w:val="28"/>
          <w:szCs w:val="28"/>
          <w:highlight w:val="none"/>
        </w:rPr>
        <w:t>》及有关法律、法规，遵循平等、自愿、公平和诚实信用的原则，委托人与受托人就</w:t>
      </w:r>
      <w:r>
        <w:rPr>
          <w:rFonts w:hint="eastAsia" w:hAnsi="宋体" w:eastAsia="宋体" w:cs="Times New Roman"/>
          <w:color w:val="auto"/>
          <w:sz w:val="28"/>
          <w:szCs w:val="28"/>
          <w:highlight w:val="none"/>
          <w:lang w:val="en-US" w:eastAsia="zh-CN"/>
        </w:rPr>
        <w:t>“泰枫名郡”项目公司收购</w:t>
      </w:r>
      <w:r>
        <w:rPr>
          <w:rFonts w:hint="eastAsia" w:ascii="方正小标宋简体" w:hAnsi="宋体" w:eastAsia="方正小标宋简体"/>
          <w:color w:val="auto"/>
          <w:sz w:val="28"/>
          <w:szCs w:val="28"/>
          <w:highlight w:val="none"/>
          <w:u w:val="single"/>
          <w:lang w:val="en-US" w:eastAsia="zh-CN"/>
        </w:rPr>
        <w:t>投资风险防控评估</w:t>
      </w:r>
      <w:r>
        <w:rPr>
          <w:rFonts w:hint="eastAsia" w:ascii="宋体" w:hAnsi="宋体" w:eastAsia="宋体" w:cs="Times New Roman"/>
          <w:color w:val="auto"/>
          <w:sz w:val="28"/>
          <w:szCs w:val="28"/>
          <w:highlight w:val="none"/>
          <w:lang w:val="en-US" w:eastAsia="zh-CN"/>
        </w:rPr>
        <w:t>报告</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事宜协商一致，订立本合同，供双方共同遵守。</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b/>
          <w:bCs/>
          <w:color w:val="auto"/>
          <w:sz w:val="28"/>
          <w:szCs w:val="28"/>
          <w:highlight w:val="none"/>
        </w:rPr>
      </w:pPr>
      <w:r>
        <w:rPr>
          <w:rFonts w:hint="eastAsia" w:ascii="宋体" w:hAnsi="宋体" w:eastAsia="宋体" w:cs="Times New Roman"/>
          <w:b/>
          <w:bCs/>
          <w:color w:val="auto"/>
          <w:sz w:val="28"/>
          <w:szCs w:val="28"/>
          <w:highlight w:val="none"/>
        </w:rPr>
        <w:t>一、项目概况</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lang w:eastAsia="zh-CN"/>
        </w:rPr>
      </w:pPr>
      <w:r>
        <w:rPr>
          <w:rFonts w:hint="eastAsia" w:ascii="宋体" w:hAnsi="宋体" w:eastAsia="宋体" w:cs="Times New Roman"/>
          <w:color w:val="auto"/>
          <w:sz w:val="28"/>
          <w:szCs w:val="28"/>
          <w:highlight w:val="none"/>
          <w:lang w:eastAsia="zh-CN"/>
        </w:rPr>
        <w:t>项目名称：</w:t>
      </w:r>
      <w:r>
        <w:rPr>
          <w:rFonts w:hint="eastAsia" w:hAnsi="宋体" w:eastAsia="宋体" w:cs="Times New Roman"/>
          <w:color w:val="auto"/>
          <w:sz w:val="28"/>
          <w:szCs w:val="28"/>
          <w:highlight w:val="none"/>
          <w:u w:val="single"/>
          <w:lang w:val="en-US" w:eastAsia="zh-CN"/>
        </w:rPr>
        <w:t>“泰枫名郡”项目公司收购</w:t>
      </w:r>
      <w:r>
        <w:rPr>
          <w:rFonts w:hint="eastAsia" w:ascii="宋体" w:hAnsi="宋体" w:eastAsia="宋体" w:cs="Times New Roman"/>
          <w:color w:val="auto"/>
          <w:sz w:val="28"/>
          <w:szCs w:val="28"/>
          <w:highlight w:val="none"/>
          <w:u w:val="single"/>
          <w:lang w:val="en-US" w:eastAsia="zh-CN"/>
        </w:rPr>
        <w:t>（投资风险防控评估）</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default" w:ascii="宋体" w:hAnsi="宋体" w:eastAsia="宋体" w:cs="Times New Roman"/>
          <w:color w:val="auto"/>
          <w:sz w:val="28"/>
          <w:szCs w:val="28"/>
          <w:highlight w:val="none"/>
          <w:lang w:val="en-US" w:eastAsia="zh-CN"/>
        </w:rPr>
      </w:pPr>
      <w:r>
        <w:rPr>
          <w:rFonts w:hint="eastAsia" w:ascii="宋体" w:hAnsi="宋体" w:eastAsia="宋体" w:cs="Times New Roman"/>
          <w:color w:val="auto"/>
          <w:sz w:val="28"/>
          <w:szCs w:val="28"/>
          <w:highlight w:val="none"/>
          <w:lang w:eastAsia="zh-CN"/>
        </w:rPr>
        <w:t>项目地点：</w:t>
      </w:r>
      <w:r>
        <w:rPr>
          <w:rFonts w:hint="eastAsia" w:ascii="宋体" w:hAnsi="宋体" w:eastAsia="宋体" w:cs="Times New Roman"/>
          <w:color w:val="auto"/>
          <w:sz w:val="28"/>
          <w:szCs w:val="28"/>
          <w:highlight w:val="none"/>
          <w:u w:val="single"/>
          <w:lang w:val="en-US" w:eastAsia="zh-CN"/>
        </w:rPr>
        <w:t>河池市宜州区</w:t>
      </w:r>
      <w:r>
        <w:rPr>
          <w:rFonts w:hint="eastAsia" w:ascii="宋体" w:hAnsi="宋体" w:eastAsia="宋体" w:cs="Times New Roman"/>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宋体" w:hAnsi="宋体" w:eastAsia="宋体" w:cs="Times New Roman"/>
          <w:color w:val="auto"/>
          <w:sz w:val="28"/>
          <w:szCs w:val="28"/>
          <w:highlight w:val="none"/>
          <w:lang w:val="en-US" w:eastAsia="zh-CN"/>
        </w:rPr>
      </w:pPr>
      <w:r>
        <w:rPr>
          <w:rFonts w:hint="eastAsia" w:ascii="宋体" w:hAnsi="宋体" w:eastAsia="宋体" w:cs="Times New Roman"/>
          <w:color w:val="auto"/>
          <w:sz w:val="28"/>
          <w:szCs w:val="28"/>
          <w:highlight w:val="none"/>
          <w:lang w:eastAsia="zh-CN"/>
        </w:rPr>
        <w:t>建设内容：</w:t>
      </w:r>
      <w:r>
        <w:rPr>
          <w:rFonts w:hint="eastAsia" w:ascii="宋体" w:hAnsi="宋体" w:eastAsia="宋体" w:cs="Times New Roman"/>
          <w:b w:val="0"/>
          <w:bCs w:val="0"/>
          <w:color w:val="auto"/>
          <w:kern w:val="2"/>
          <w:sz w:val="28"/>
          <w:szCs w:val="28"/>
          <w:highlight w:val="none"/>
          <w:lang w:val="en-US" w:eastAsia="zh-CN" w:bidi="ar-SA"/>
        </w:rPr>
        <w:t>“泰枫名郡”楼盘项目净用地面积约8589㎡（合约12.9亩），总建筑面积约41722㎡，地上建筑面积（计容）约32222㎡，地下建筑面积约9436㎡，住宅建筑面积约30566㎡，现规划有住宅192户，每户建筑面积为125~143㎡，共有机动车车位221个</w:t>
      </w:r>
      <w:r>
        <w:rPr>
          <w:rFonts w:hint="default" w:ascii="宋体" w:hAnsi="宋体" w:eastAsia="宋体" w:cs="Times New Roman"/>
          <w:b w:val="0"/>
          <w:bCs w:val="0"/>
          <w:color w:val="auto"/>
          <w:kern w:val="2"/>
          <w:sz w:val="28"/>
          <w:szCs w:val="28"/>
          <w:highlight w:val="none"/>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lang w:val="en-US" w:eastAsia="zh-CN"/>
        </w:rPr>
      </w:pPr>
      <w:r>
        <w:rPr>
          <w:rFonts w:hint="eastAsia" w:ascii="宋体" w:hAnsi="宋体" w:eastAsia="宋体" w:cs="Times New Roman"/>
          <w:b/>
          <w:bCs/>
          <w:color w:val="auto"/>
          <w:sz w:val="28"/>
          <w:szCs w:val="28"/>
          <w:highlight w:val="none"/>
        </w:rPr>
        <w:t>二、委托服务类别</w:t>
      </w:r>
      <w:r>
        <w:rPr>
          <w:rFonts w:hint="eastAsia" w:ascii="宋体" w:hAnsi="宋体" w:eastAsia="宋体" w:cs="Times New Roman"/>
          <w:color w:val="auto"/>
          <w:sz w:val="28"/>
          <w:szCs w:val="28"/>
          <w:highlight w:val="none"/>
        </w:rPr>
        <w:t>：</w:t>
      </w:r>
      <w:r>
        <w:rPr>
          <w:rFonts w:hint="eastAsia" w:ascii="宋体" w:hAnsi="宋体" w:eastAsia="宋体" w:cs="Times New Roman"/>
          <w:color w:val="auto"/>
          <w:sz w:val="28"/>
          <w:szCs w:val="28"/>
          <w:highlight w:val="none"/>
          <w:u w:val="single"/>
          <w:lang w:val="en-US" w:eastAsia="zh-CN"/>
        </w:rPr>
        <w:t>根据国家相关法律法规、政策标准等，编制“</w:t>
      </w:r>
      <w:r>
        <w:rPr>
          <w:rFonts w:hint="eastAsia" w:hAnsi="宋体" w:eastAsia="宋体" w:cs="Times New Roman"/>
          <w:color w:val="auto"/>
          <w:sz w:val="28"/>
          <w:szCs w:val="28"/>
          <w:highlight w:val="none"/>
          <w:u w:val="single"/>
          <w:lang w:val="en-US" w:eastAsia="zh-CN"/>
        </w:rPr>
        <w:t>泰枫名郡</w:t>
      </w:r>
      <w:r>
        <w:rPr>
          <w:rFonts w:hint="eastAsia" w:ascii="宋体" w:hAnsi="宋体" w:eastAsia="宋体" w:cs="Times New Roman"/>
          <w:color w:val="auto"/>
          <w:sz w:val="28"/>
          <w:szCs w:val="28"/>
          <w:highlight w:val="none"/>
          <w:u w:val="single"/>
          <w:lang w:val="en-US" w:eastAsia="zh-CN"/>
        </w:rPr>
        <w:t>”项目公司收购投资风险防控评估报告，配合甲方召开内部评审，并通过行政主管部门审核</w:t>
      </w:r>
      <w:r>
        <w:rPr>
          <w:rFonts w:hint="eastAsia" w:ascii="宋体" w:hAnsi="宋体" w:eastAsia="宋体" w:cs="Times New Roman"/>
          <w:color w:val="auto"/>
          <w:sz w:val="28"/>
          <w:szCs w:val="28"/>
          <w:highlight w:val="none"/>
          <w:lang w:val="en-US" w:eastAsia="zh-CN"/>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b/>
          <w:bCs/>
          <w:color w:val="auto"/>
          <w:sz w:val="28"/>
          <w:szCs w:val="28"/>
          <w:highlight w:val="none"/>
        </w:rPr>
        <w:t>三、</w:t>
      </w:r>
      <w:r>
        <w:rPr>
          <w:rFonts w:hint="eastAsia" w:ascii="宋体" w:hAnsi="宋体" w:eastAsia="宋体" w:cs="Times New Roman"/>
          <w:b/>
          <w:bCs/>
          <w:color w:val="auto"/>
          <w:sz w:val="28"/>
          <w:szCs w:val="28"/>
          <w:highlight w:val="none"/>
          <w:lang w:eastAsia="zh-CN"/>
        </w:rPr>
        <w:t>工程咨询</w:t>
      </w:r>
      <w:r>
        <w:rPr>
          <w:rFonts w:hint="eastAsia" w:ascii="宋体" w:hAnsi="宋体" w:eastAsia="宋体" w:cs="Times New Roman"/>
          <w:b/>
          <w:bCs/>
          <w:color w:val="auto"/>
          <w:sz w:val="28"/>
          <w:szCs w:val="28"/>
          <w:highlight w:val="none"/>
        </w:rPr>
        <w:t>服务计划工期</w:t>
      </w:r>
      <w:r>
        <w:rPr>
          <w:rFonts w:hint="eastAsia" w:ascii="宋体" w:hAnsi="宋体" w:eastAsia="宋体" w:cs="Times New Roman"/>
          <w:color w:val="auto"/>
          <w:sz w:val="28"/>
          <w:szCs w:val="28"/>
          <w:highlight w:val="none"/>
        </w:rPr>
        <w:t>：</w:t>
      </w:r>
      <w:r>
        <w:rPr>
          <w:rFonts w:hint="eastAsia" w:ascii="宋体" w:hAnsi="宋体" w:eastAsia="宋体" w:cs="Times New Roman"/>
          <w:color w:val="auto"/>
          <w:sz w:val="28"/>
          <w:szCs w:val="28"/>
          <w:highlight w:val="none"/>
          <w:u w:val="single"/>
        </w:rPr>
        <w:t>合同签订后，</w:t>
      </w:r>
      <w:r>
        <w:rPr>
          <w:rFonts w:hint="eastAsia" w:ascii="宋体" w:hAnsi="宋体" w:eastAsia="宋体" w:cs="Times New Roman"/>
          <w:color w:val="auto"/>
          <w:sz w:val="28"/>
          <w:szCs w:val="28"/>
          <w:highlight w:val="none"/>
          <w:u w:val="single"/>
          <w:lang w:val="en-US" w:eastAsia="zh-CN"/>
        </w:rPr>
        <w:t>7个</w:t>
      </w:r>
      <w:r>
        <w:rPr>
          <w:rFonts w:hint="eastAsia" w:ascii="宋体" w:hAnsi="宋体" w:eastAsia="宋体" w:cs="Times New Roman"/>
          <w:color w:val="auto"/>
          <w:sz w:val="28"/>
          <w:szCs w:val="28"/>
          <w:highlight w:val="none"/>
          <w:u w:val="single"/>
        </w:rPr>
        <w:t>日历天（合同履行过程中，可视委托人提供资料进度情况及相关条件进行调整）完成</w:t>
      </w:r>
      <w:r>
        <w:rPr>
          <w:rFonts w:hint="eastAsia" w:ascii="宋体" w:hAnsi="宋体" w:eastAsia="宋体" w:cs="Times New Roman"/>
          <w:color w:val="auto"/>
          <w:sz w:val="28"/>
          <w:szCs w:val="28"/>
          <w:highlight w:val="none"/>
          <w:u w:val="single"/>
          <w:lang w:val="en-US" w:eastAsia="zh-CN"/>
        </w:rPr>
        <w:t>报告编制</w:t>
      </w:r>
      <w:r>
        <w:rPr>
          <w:rFonts w:hint="eastAsia" w:ascii="宋体" w:hAnsi="宋体" w:eastAsia="宋体" w:cs="Times New Roman"/>
          <w:color w:val="auto"/>
          <w:sz w:val="28"/>
          <w:szCs w:val="28"/>
          <w:highlight w:val="none"/>
          <w:u w:val="single"/>
        </w:rPr>
        <w:t>工作</w:t>
      </w:r>
      <w:r>
        <w:rPr>
          <w:rFonts w:hint="eastAsia" w:ascii="宋体" w:hAnsi="宋体" w:eastAsia="宋体" w:cs="Times New Roman"/>
          <w:color w:val="auto"/>
          <w:sz w:val="28"/>
          <w:szCs w:val="28"/>
          <w:highlight w:val="none"/>
        </w:rPr>
        <w:t>。</w:t>
      </w:r>
    </w:p>
    <w:p>
      <w:pPr>
        <w:spacing w:line="360" w:lineRule="auto"/>
        <w:ind w:firstLine="562" w:firstLineChars="200"/>
        <w:jc w:val="left"/>
        <w:rPr>
          <w:rFonts w:hint="eastAsia" w:ascii="宋体" w:hAnsi="宋体" w:eastAsia="宋体" w:cs="Times New Roman"/>
          <w:color w:val="auto"/>
          <w:sz w:val="28"/>
          <w:szCs w:val="28"/>
          <w:highlight w:val="none"/>
        </w:rPr>
      </w:pPr>
      <w:r>
        <w:rPr>
          <w:rFonts w:hint="eastAsia" w:ascii="宋体" w:hAnsi="宋体" w:eastAsia="宋体" w:cs="Times New Roman"/>
          <w:b/>
          <w:bCs/>
          <w:color w:val="auto"/>
          <w:kern w:val="0"/>
          <w:sz w:val="28"/>
          <w:szCs w:val="28"/>
          <w:highlight w:val="none"/>
          <w:lang w:val="en-US" w:eastAsia="zh-CN" w:bidi="ar-SA"/>
        </w:rPr>
        <w:t>四、成果要求：</w:t>
      </w:r>
      <w:r>
        <w:rPr>
          <w:rFonts w:hint="eastAsia" w:ascii="宋体" w:hAnsi="宋体" w:eastAsia="宋体" w:cs="Times New Roman"/>
          <w:color w:val="auto"/>
          <w:kern w:val="2"/>
          <w:sz w:val="28"/>
          <w:szCs w:val="28"/>
          <w:highlight w:val="none"/>
          <w:u w:val="single"/>
          <w:lang w:val="en-US" w:eastAsia="zh-CN" w:bidi="ar-SA"/>
        </w:rPr>
        <w:t>投资风险防控评估报告编制应按照相关要求进行编制；根据项目的实际情况，分析本项目建设的合法性、合理性、可行性、可控性，分析判断投资风险等级，对可能引发的投资防控风险进行风险评估，提出对策建议、风脸防范、防控措施、化解措施、应急处置预案等</w:t>
      </w:r>
      <w:r>
        <w:rPr>
          <w:rFonts w:hint="eastAsia" w:ascii="宋体" w:hAnsi="宋体" w:eastAsia="宋体" w:cs="Times New Roman"/>
          <w:color w:val="auto"/>
          <w:kern w:val="2"/>
          <w:sz w:val="28"/>
          <w:szCs w:val="28"/>
          <w:highlight w:val="none"/>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lang w:eastAsia="zh-CN"/>
        </w:rPr>
      </w:pPr>
      <w:r>
        <w:rPr>
          <w:rFonts w:hint="eastAsia" w:ascii="宋体" w:hAnsi="宋体" w:eastAsia="宋体" w:cs="Times New Roman"/>
          <w:b/>
          <w:bCs/>
          <w:color w:val="auto"/>
          <w:sz w:val="28"/>
          <w:szCs w:val="28"/>
          <w:highlight w:val="none"/>
          <w:lang w:eastAsia="zh-CN"/>
        </w:rPr>
        <w:t>五</w:t>
      </w:r>
      <w:r>
        <w:rPr>
          <w:rFonts w:hint="eastAsia" w:ascii="宋体" w:hAnsi="宋体" w:eastAsia="宋体" w:cs="Times New Roman"/>
          <w:b/>
          <w:bCs/>
          <w:color w:val="auto"/>
          <w:sz w:val="28"/>
          <w:szCs w:val="28"/>
          <w:highlight w:val="none"/>
        </w:rPr>
        <w:t>、</w:t>
      </w:r>
      <w:r>
        <w:rPr>
          <w:rFonts w:hint="eastAsia" w:ascii="宋体" w:hAnsi="宋体" w:eastAsia="宋体" w:cs="Times New Roman"/>
          <w:b/>
          <w:bCs/>
          <w:color w:val="auto"/>
          <w:sz w:val="28"/>
          <w:szCs w:val="28"/>
          <w:highlight w:val="none"/>
          <w:lang w:eastAsia="zh-CN"/>
        </w:rPr>
        <w:t>成果文件数量</w:t>
      </w:r>
      <w:r>
        <w:rPr>
          <w:rFonts w:hint="eastAsia" w:ascii="宋体" w:hAnsi="宋体" w:eastAsia="宋体" w:cs="Times New Roman"/>
          <w:color w:val="auto"/>
          <w:sz w:val="28"/>
          <w:szCs w:val="28"/>
          <w:highlight w:val="none"/>
          <w:lang w:eastAsia="zh-CN"/>
        </w:rPr>
        <w:t>：</w:t>
      </w:r>
      <w:r>
        <w:rPr>
          <w:rFonts w:hint="eastAsia" w:ascii="宋体" w:hAnsi="宋体" w:eastAsia="宋体" w:cs="Times New Roman"/>
          <w:color w:val="auto"/>
          <w:sz w:val="28"/>
          <w:szCs w:val="28"/>
          <w:highlight w:val="none"/>
          <w:u w:val="none"/>
          <w:lang w:eastAsia="zh-CN"/>
        </w:rPr>
        <w:t>提</w:t>
      </w:r>
      <w:r>
        <w:rPr>
          <w:rFonts w:hint="eastAsia" w:ascii="宋体" w:hAnsi="宋体" w:eastAsia="宋体" w:cs="Times New Roman"/>
          <w:color w:val="auto"/>
          <w:kern w:val="2"/>
          <w:sz w:val="28"/>
          <w:szCs w:val="28"/>
          <w:highlight w:val="none"/>
          <w:u w:val="none"/>
          <w:lang w:val="en-US" w:eastAsia="zh-CN" w:bidi="ar-SA"/>
        </w:rPr>
        <w:t>交甲方审核通过的成果4套及电子档</w:t>
      </w:r>
      <w:r>
        <w:rPr>
          <w:rFonts w:hint="eastAsia" w:ascii="宋体" w:hAnsi="宋体" w:eastAsia="宋体" w:cs="Times New Roman"/>
          <w:color w:val="auto"/>
          <w:sz w:val="28"/>
          <w:szCs w:val="28"/>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b/>
          <w:bCs/>
          <w:color w:val="auto"/>
          <w:sz w:val="28"/>
          <w:szCs w:val="28"/>
          <w:highlight w:val="none"/>
          <w:lang w:eastAsia="zh-CN"/>
        </w:rPr>
      </w:pPr>
      <w:r>
        <w:rPr>
          <w:rFonts w:hint="eastAsia" w:ascii="宋体" w:hAnsi="宋体" w:eastAsia="宋体" w:cs="Times New Roman"/>
          <w:b/>
          <w:bCs/>
          <w:color w:val="auto"/>
          <w:sz w:val="28"/>
          <w:szCs w:val="28"/>
          <w:highlight w:val="none"/>
          <w:lang w:eastAsia="zh-CN"/>
        </w:rPr>
        <w:t>六、工程</w:t>
      </w:r>
      <w:r>
        <w:rPr>
          <w:rFonts w:hint="eastAsia" w:ascii="宋体" w:hAnsi="宋体" w:eastAsia="宋体" w:cs="Times New Roman"/>
          <w:b/>
          <w:bCs/>
          <w:color w:val="auto"/>
          <w:sz w:val="28"/>
          <w:szCs w:val="28"/>
          <w:highlight w:val="none"/>
          <w:lang w:val="en-US" w:eastAsia="zh-CN"/>
        </w:rPr>
        <w:t>编制</w:t>
      </w:r>
      <w:r>
        <w:rPr>
          <w:rFonts w:hint="eastAsia" w:ascii="宋体" w:hAnsi="宋体" w:eastAsia="宋体" w:cs="Times New Roman"/>
          <w:b/>
          <w:bCs/>
          <w:color w:val="auto"/>
          <w:sz w:val="28"/>
          <w:szCs w:val="28"/>
          <w:highlight w:val="none"/>
          <w:lang w:eastAsia="zh-CN"/>
        </w:rPr>
        <w:t>服务费及其支付</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lang w:val="en-US" w:eastAsia="zh-CN"/>
        </w:rPr>
      </w:pPr>
      <w:r>
        <w:rPr>
          <w:rFonts w:hint="eastAsia" w:ascii="宋体" w:hAnsi="宋体" w:eastAsia="宋体" w:cs="Times New Roman"/>
          <w:color w:val="auto"/>
          <w:sz w:val="28"/>
          <w:szCs w:val="28"/>
          <w:highlight w:val="none"/>
          <w:lang w:val="en-US" w:eastAsia="zh-CN"/>
        </w:rPr>
        <w:t>1、根据2021年  月   日成交通知书，编制服务费用包干为人民币：  （小写：元，【</w:t>
      </w:r>
      <w:r>
        <w:rPr>
          <w:rFonts w:hint="eastAsia" w:ascii="宋体" w:hAnsi="宋体" w:eastAsia="宋体" w:cs="Times New Roman"/>
          <w:color w:val="auto"/>
          <w:kern w:val="2"/>
          <w:sz w:val="28"/>
          <w:szCs w:val="28"/>
          <w:highlight w:val="none"/>
          <w:lang w:val="en-US" w:eastAsia="zh-CN" w:bidi="ar-SA"/>
        </w:rPr>
        <w:t>包含但不限于技术工作费、人工费、编制费、评估费、评审费、材料费、差旅费、管理费、设备、劳务、邮寄费、维护、保险、利润及税金、管理政策性规定费用等</w:t>
      </w:r>
      <w:r>
        <w:rPr>
          <w:rFonts w:hint="eastAsia" w:ascii="宋体" w:hAnsi="宋体" w:eastAsia="宋体" w:cs="Times New Roman"/>
          <w:color w:val="auto"/>
          <w:sz w:val="28"/>
          <w:szCs w:val="28"/>
          <w:highlight w:val="none"/>
          <w:lang w:val="en-US" w:eastAsia="zh-CN"/>
        </w:rPr>
        <w:t>】。投标人所填报的价格在合同实施期间不因市场价格变化等因素而变动，投标人在报价时应考虑各种风险因素和承受能力。</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u w:val="none"/>
        </w:rPr>
      </w:pPr>
      <w:r>
        <w:rPr>
          <w:rFonts w:hint="eastAsia" w:ascii="宋体" w:hAnsi="宋体" w:eastAsia="宋体" w:cs="Times New Roman"/>
          <w:color w:val="auto"/>
          <w:sz w:val="28"/>
          <w:szCs w:val="28"/>
          <w:highlight w:val="none"/>
        </w:rPr>
        <w:t>2、支付方式：</w:t>
      </w:r>
    </w:p>
    <w:p>
      <w:pPr>
        <w:pStyle w:val="10"/>
        <w:ind w:firstLine="600" w:firstLineChars="200"/>
        <w:rPr>
          <w:rFonts w:hint="eastAsia" w:ascii="宋体" w:hAnsi="宋体" w:eastAsia="宋体" w:cs="Times New Roman"/>
          <w:color w:val="auto"/>
          <w:sz w:val="28"/>
          <w:szCs w:val="28"/>
          <w:highlight w:val="none"/>
          <w:lang w:val="en-US" w:eastAsia="zh-CN"/>
        </w:rPr>
      </w:pPr>
      <w:r>
        <w:rPr>
          <w:rFonts w:hint="eastAsia" w:ascii="宋体" w:hAnsi="宋体" w:eastAsia="宋体" w:cs="Times New Roman"/>
          <w:color w:val="auto"/>
          <w:sz w:val="28"/>
          <w:szCs w:val="28"/>
          <w:highlight w:val="none"/>
          <w:u w:val="none"/>
          <w:lang w:val="en-US" w:eastAsia="zh-CN"/>
        </w:rPr>
        <w:t>乙方完成</w:t>
      </w:r>
      <w:r>
        <w:rPr>
          <w:rFonts w:hint="eastAsia" w:hAnsi="宋体" w:eastAsia="宋体" w:cs="Times New Roman"/>
          <w:color w:val="auto"/>
          <w:sz w:val="28"/>
          <w:szCs w:val="28"/>
          <w:highlight w:val="none"/>
          <w:u w:val="none"/>
          <w:lang w:val="en-US" w:eastAsia="zh-CN"/>
        </w:rPr>
        <w:t>“泰枫名郡”项目公司收购</w:t>
      </w:r>
      <w:r>
        <w:rPr>
          <w:rFonts w:hint="eastAsia" w:ascii="宋体" w:hAnsi="宋体" w:eastAsia="宋体" w:cs="Times New Roman"/>
          <w:color w:val="auto"/>
          <w:sz w:val="28"/>
          <w:szCs w:val="28"/>
          <w:highlight w:val="none"/>
          <w:u w:val="none"/>
          <w:lang w:val="en-US" w:eastAsia="zh-CN"/>
        </w:rPr>
        <w:t>投资风险防控评估报告的编制工作，</w:t>
      </w:r>
      <w:r>
        <w:rPr>
          <w:rFonts w:hint="eastAsia" w:hAnsi="宋体" w:eastAsia="宋体" w:cs="Times New Roman"/>
          <w:color w:val="auto"/>
          <w:sz w:val="28"/>
          <w:szCs w:val="28"/>
          <w:highlight w:val="none"/>
          <w:u w:val="none"/>
          <w:lang w:val="en-US" w:eastAsia="zh-CN"/>
        </w:rPr>
        <w:t>成果文件需报甲方进行内部评审，并取得经甲方评审通过审核意见</w:t>
      </w:r>
      <w:r>
        <w:rPr>
          <w:rFonts w:hint="eastAsia" w:ascii="宋体" w:hAnsi="宋体" w:eastAsia="宋体" w:cs="Times New Roman"/>
          <w:color w:val="auto"/>
          <w:sz w:val="28"/>
          <w:szCs w:val="28"/>
          <w:highlight w:val="none"/>
          <w:u w:val="none"/>
          <w:lang w:val="en-US" w:eastAsia="zh-CN"/>
        </w:rPr>
        <w:t>的成果4套及电子档后一次付清。款项支付前，乙方应向甲方</w:t>
      </w:r>
      <w:r>
        <w:rPr>
          <w:rFonts w:hint="eastAsia" w:ascii="宋体" w:hAnsi="宋体" w:eastAsia="宋体" w:cs="Times New Roman"/>
          <w:color w:val="auto"/>
          <w:sz w:val="28"/>
          <w:szCs w:val="28"/>
          <w:highlight w:val="none"/>
          <w:lang w:val="en-US" w:eastAsia="zh-CN"/>
        </w:rPr>
        <w:t>提交请款函及按照甲方要求向甲方提供正式税务增值税专用发票。</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b/>
          <w:bCs/>
          <w:color w:val="auto"/>
          <w:sz w:val="28"/>
          <w:szCs w:val="28"/>
          <w:highlight w:val="none"/>
          <w:lang w:eastAsia="zh-CN"/>
        </w:rPr>
      </w:pPr>
      <w:r>
        <w:rPr>
          <w:rFonts w:hint="eastAsia" w:ascii="宋体" w:hAnsi="宋体" w:eastAsia="宋体" w:cs="Times New Roman"/>
          <w:b/>
          <w:bCs/>
          <w:color w:val="auto"/>
          <w:sz w:val="28"/>
          <w:szCs w:val="28"/>
          <w:highlight w:val="none"/>
          <w:lang w:eastAsia="zh-CN"/>
        </w:rPr>
        <w:t>七</w:t>
      </w:r>
      <w:r>
        <w:rPr>
          <w:rFonts w:hint="eastAsia" w:ascii="宋体" w:hAnsi="宋体" w:eastAsia="宋体" w:cs="Times New Roman"/>
          <w:b/>
          <w:bCs/>
          <w:color w:val="auto"/>
          <w:sz w:val="28"/>
          <w:szCs w:val="28"/>
          <w:highlight w:val="none"/>
        </w:rPr>
        <w:t>、</w:t>
      </w:r>
      <w:r>
        <w:rPr>
          <w:rFonts w:hint="eastAsia" w:ascii="宋体" w:hAnsi="宋体" w:eastAsia="宋体" w:cs="Times New Roman"/>
          <w:b/>
          <w:bCs/>
          <w:color w:val="auto"/>
          <w:sz w:val="28"/>
          <w:szCs w:val="28"/>
          <w:highlight w:val="none"/>
          <w:lang w:eastAsia="zh-CN"/>
        </w:rPr>
        <w:t>责任和义务</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lang w:eastAsia="zh-CN"/>
        </w:rPr>
        <w:t>（一）委托人责任和义务</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1、在不耽误项目进度的合理时间内，向受托人提供委托人所能获取的、与服务有关的一切资料（资料内容双方另行协商）。</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2、在双方商定的合理时间内，就受托人以书面形式提出的相关问题或要求协助办理的相关事宜，作出书面答复或响应。</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3、按本合同约定金额及时间向受托人支付</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服务费。</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4、其他应由委托人完成的与项目相关事宜。</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lang w:eastAsia="zh-CN"/>
        </w:rPr>
        <w:t>（二）受托人的责任和义务</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1、制定项目</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服务工作计划，并报委托人审核。</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2、组织好执行</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任务的项目组，熟悉</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项目的情况、</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任务及要求，尽可能地参与</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服务工作，提出完成</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任务拟采取的方式、方法和步骤。</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3、与委托人及其它与项目有关的部门或人员及时交流、密切合作。</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lang w:eastAsia="zh-CN"/>
        </w:rPr>
      </w:pPr>
      <w:r>
        <w:rPr>
          <w:rFonts w:hint="eastAsia" w:ascii="宋体" w:hAnsi="宋体" w:eastAsia="宋体" w:cs="Times New Roman"/>
          <w:color w:val="auto"/>
          <w:sz w:val="28"/>
          <w:szCs w:val="28"/>
          <w:highlight w:val="none"/>
        </w:rPr>
        <w:t>4、严格按国家有关规定的标准、方式和程序完成</w:t>
      </w:r>
      <w:r>
        <w:rPr>
          <w:rFonts w:hint="eastAsia" w:ascii="宋体" w:hAnsi="宋体" w:eastAsia="宋体" w:cs="Times New Roman"/>
          <w:color w:val="auto"/>
          <w:sz w:val="28"/>
          <w:szCs w:val="28"/>
          <w:highlight w:val="none"/>
          <w:lang w:val="en-US" w:eastAsia="zh-CN"/>
        </w:rPr>
        <w:t>编制</w:t>
      </w:r>
      <w:r>
        <w:rPr>
          <w:rFonts w:hint="eastAsia" w:ascii="宋体" w:hAnsi="宋体" w:eastAsia="宋体" w:cs="Times New Roman"/>
          <w:color w:val="auto"/>
          <w:sz w:val="28"/>
          <w:szCs w:val="28"/>
          <w:highlight w:val="none"/>
        </w:rPr>
        <w:t>工作，以确保</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成果的质量,</w:t>
      </w:r>
      <w:r>
        <w:rPr>
          <w:rFonts w:hint="eastAsia" w:ascii="宋体" w:hAnsi="宋体" w:eastAsia="宋体" w:cs="Times New Roman"/>
          <w:color w:val="auto"/>
          <w:sz w:val="28"/>
          <w:szCs w:val="28"/>
          <w:highlight w:val="none"/>
          <w:lang w:eastAsia="zh-CN"/>
        </w:rPr>
        <w:t>并对所提交报告的质量负责。</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5、按照合同要求时间提交</w:t>
      </w:r>
      <w:r>
        <w:rPr>
          <w:rFonts w:hint="eastAsia" w:ascii="宋体" w:hAnsi="宋体" w:eastAsia="宋体" w:cs="Times New Roman"/>
          <w:color w:val="auto"/>
          <w:sz w:val="28"/>
          <w:szCs w:val="28"/>
          <w:highlight w:val="none"/>
          <w:lang w:eastAsia="zh-CN"/>
        </w:rPr>
        <w:t>编制</w:t>
      </w:r>
      <w:r>
        <w:rPr>
          <w:rFonts w:hint="eastAsia" w:ascii="宋体" w:hAnsi="宋体" w:eastAsia="宋体" w:cs="Times New Roman"/>
          <w:color w:val="auto"/>
          <w:sz w:val="28"/>
          <w:szCs w:val="28"/>
          <w:highlight w:val="none"/>
        </w:rPr>
        <w:t>成果。</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rPr>
      </w:pPr>
      <w:r>
        <w:rPr>
          <w:rFonts w:hint="eastAsia" w:ascii="宋体" w:hAnsi="宋体" w:eastAsia="宋体" w:cs="Times New Roman"/>
          <w:color w:val="auto"/>
          <w:sz w:val="28"/>
          <w:szCs w:val="28"/>
        </w:rPr>
        <w:t>6、对</w:t>
      </w:r>
      <w:r>
        <w:rPr>
          <w:rFonts w:hint="eastAsia" w:ascii="宋体" w:hAnsi="宋体" w:eastAsia="宋体" w:cs="Times New Roman"/>
          <w:color w:val="auto"/>
          <w:sz w:val="28"/>
          <w:szCs w:val="28"/>
          <w:lang w:eastAsia="zh-CN"/>
        </w:rPr>
        <w:t>编制</w:t>
      </w:r>
      <w:r>
        <w:rPr>
          <w:rFonts w:hint="eastAsia" w:ascii="宋体" w:hAnsi="宋体" w:eastAsia="宋体" w:cs="Times New Roman"/>
          <w:color w:val="auto"/>
          <w:sz w:val="28"/>
          <w:szCs w:val="28"/>
        </w:rPr>
        <w:t>成果出现的错误或遗漏负责修改或完善，不另行收费。</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rPr>
      </w:pPr>
      <w:r>
        <w:rPr>
          <w:rFonts w:hint="eastAsia" w:ascii="宋体" w:hAnsi="宋体" w:eastAsia="宋体" w:cs="Times New Roman"/>
          <w:color w:val="auto"/>
          <w:sz w:val="28"/>
          <w:szCs w:val="28"/>
        </w:rPr>
        <w:t>7、因履约不合格或要求终止、解除合同，应赔偿委托人的损失。</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b/>
          <w:bCs/>
          <w:color w:val="auto"/>
          <w:sz w:val="28"/>
          <w:szCs w:val="28"/>
        </w:rPr>
      </w:pPr>
      <w:r>
        <w:rPr>
          <w:rFonts w:hint="eastAsia" w:ascii="宋体" w:hAnsi="宋体" w:eastAsia="宋体" w:cs="Times New Roman"/>
          <w:b/>
          <w:bCs/>
          <w:color w:val="auto"/>
          <w:sz w:val="28"/>
          <w:szCs w:val="28"/>
        </w:rPr>
        <w:t>八、保密</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rPr>
      </w:pPr>
      <w:r>
        <w:rPr>
          <w:rFonts w:hint="eastAsia" w:ascii="宋体" w:hAnsi="宋体" w:eastAsia="宋体" w:cs="Times New Roman"/>
          <w:color w:val="auto"/>
          <w:sz w:val="28"/>
          <w:szCs w:val="28"/>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b/>
          <w:bCs/>
          <w:color w:val="auto"/>
          <w:sz w:val="28"/>
          <w:szCs w:val="28"/>
        </w:rPr>
      </w:pPr>
      <w:r>
        <w:rPr>
          <w:rFonts w:hint="eastAsia" w:ascii="宋体" w:hAnsi="宋体" w:eastAsia="宋体" w:cs="Times New Roman"/>
          <w:b/>
          <w:bCs/>
          <w:color w:val="auto"/>
          <w:sz w:val="28"/>
          <w:szCs w:val="28"/>
        </w:rPr>
        <w:t>九、争议解决方式</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lang w:eastAsia="zh-CN"/>
        </w:rPr>
        <w:t>合同订立双方发生争议，应及时协商解决，也可由当地有关部门调解，调解不成时，通过甲方所在地的人民法院诉讼解决。</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b/>
          <w:bCs/>
          <w:color w:val="auto"/>
          <w:sz w:val="28"/>
          <w:szCs w:val="28"/>
        </w:rPr>
      </w:pPr>
      <w:r>
        <w:rPr>
          <w:rFonts w:hint="eastAsia" w:ascii="宋体" w:hAnsi="宋体" w:eastAsia="宋体" w:cs="Times New Roman"/>
          <w:b/>
          <w:bCs/>
          <w:color w:val="auto"/>
          <w:sz w:val="28"/>
          <w:szCs w:val="28"/>
        </w:rPr>
        <w:t>十、合同生效及其他</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lang w:eastAsia="zh-CN"/>
        </w:rPr>
      </w:pPr>
      <w:r>
        <w:rPr>
          <w:rFonts w:hint="eastAsia" w:ascii="宋体" w:hAnsi="宋体" w:eastAsia="宋体" w:cs="Times New Roman"/>
          <w:color w:val="auto"/>
          <w:sz w:val="28"/>
          <w:szCs w:val="28"/>
        </w:rPr>
        <w:t>1、</w:t>
      </w:r>
      <w:r>
        <w:rPr>
          <w:rFonts w:hint="eastAsia" w:ascii="宋体" w:hAnsi="宋体" w:eastAsia="宋体" w:cs="Times New Roman"/>
          <w:color w:val="auto"/>
          <w:sz w:val="28"/>
          <w:szCs w:val="28"/>
          <w:lang w:eastAsia="zh-CN"/>
        </w:rPr>
        <w:t>乙方为本合同项目的服务至</w:t>
      </w:r>
      <w:r>
        <w:rPr>
          <w:rFonts w:hint="eastAsia" w:ascii="宋体" w:hAnsi="宋体" w:eastAsia="宋体" w:cs="Times New Roman"/>
          <w:color w:val="auto"/>
          <w:sz w:val="28"/>
          <w:szCs w:val="28"/>
          <w:highlight w:val="none"/>
          <w:lang w:val="en-US" w:eastAsia="zh-CN"/>
        </w:rPr>
        <w:t>项目投资风险防控评估报告通过甲方内部评审</w:t>
      </w:r>
      <w:r>
        <w:rPr>
          <w:rFonts w:hint="eastAsia" w:ascii="宋体" w:hAnsi="宋体" w:eastAsia="宋体" w:cs="Times New Roman"/>
          <w:color w:val="auto"/>
          <w:sz w:val="28"/>
          <w:szCs w:val="28"/>
          <w:u w:val="none"/>
          <w:lang w:eastAsia="zh-CN"/>
        </w:rPr>
        <w:t>。</w:t>
      </w:r>
      <w:r>
        <w:rPr>
          <w:rFonts w:hint="eastAsia" w:ascii="宋体" w:hAnsi="宋体" w:eastAsia="宋体" w:cs="Times New Roman"/>
          <w:color w:val="auto"/>
          <w:sz w:val="28"/>
          <w:szCs w:val="28"/>
          <w:u w:val="none"/>
        </w:rPr>
        <w:t xml:space="preserve"> </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rPr>
      </w:pPr>
      <w:r>
        <w:rPr>
          <w:rFonts w:hint="eastAsia" w:ascii="宋体" w:hAnsi="宋体" w:eastAsia="宋体" w:cs="Times New Roman"/>
          <w:color w:val="auto"/>
          <w:sz w:val="28"/>
          <w:szCs w:val="28"/>
        </w:rPr>
        <w:t>2、由于不可抗力因素致使合同无法履行时，双方应及时协商解决。</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rPr>
      </w:pPr>
      <w:r>
        <w:rPr>
          <w:rFonts w:hint="eastAsia" w:ascii="宋体" w:hAnsi="宋体" w:eastAsia="宋体" w:cs="Times New Roman"/>
          <w:color w:val="auto"/>
          <w:sz w:val="28"/>
          <w:szCs w:val="28"/>
        </w:rPr>
        <w:t>3、本合同双方签字盖章即生效，一式</w:t>
      </w:r>
      <w:r>
        <w:rPr>
          <w:rFonts w:hint="eastAsia" w:ascii="宋体" w:hAnsi="宋体" w:eastAsia="宋体" w:cs="Times New Roman"/>
          <w:color w:val="auto"/>
          <w:sz w:val="28"/>
          <w:szCs w:val="28"/>
          <w:u w:val="single"/>
          <w:lang w:eastAsia="zh-CN"/>
        </w:rPr>
        <w:t>肆</w:t>
      </w:r>
      <w:r>
        <w:rPr>
          <w:rFonts w:hint="eastAsia" w:ascii="宋体" w:hAnsi="宋体" w:eastAsia="宋体" w:cs="Times New Roman"/>
          <w:color w:val="auto"/>
          <w:sz w:val="28"/>
          <w:szCs w:val="28"/>
          <w:lang w:eastAsia="zh-CN"/>
        </w:rPr>
        <w:t>份，甲方</w:t>
      </w:r>
      <w:r>
        <w:rPr>
          <w:rFonts w:hint="eastAsia" w:ascii="宋体" w:hAnsi="宋体" w:eastAsia="宋体" w:cs="Times New Roman"/>
          <w:color w:val="auto"/>
          <w:sz w:val="28"/>
          <w:szCs w:val="28"/>
          <w:u w:val="single"/>
          <w:lang w:eastAsia="zh-CN"/>
        </w:rPr>
        <w:t>贰</w:t>
      </w:r>
      <w:r>
        <w:rPr>
          <w:rFonts w:hint="eastAsia" w:ascii="宋体" w:hAnsi="宋体" w:eastAsia="宋体" w:cs="Times New Roman"/>
          <w:color w:val="auto"/>
          <w:sz w:val="28"/>
          <w:szCs w:val="28"/>
          <w:lang w:eastAsia="zh-CN"/>
        </w:rPr>
        <w:t>份，乙方贰份。</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rPr>
      </w:pPr>
      <w:r>
        <w:rPr>
          <w:rFonts w:hint="eastAsia" w:ascii="宋体" w:hAnsi="宋体" w:eastAsia="宋体" w:cs="Times New Roman"/>
          <w:color w:val="auto"/>
          <w:sz w:val="28"/>
          <w:szCs w:val="28"/>
        </w:rPr>
        <w:t>4、双方履行完合同规定的义务后，本合同即行终止。</w:t>
      </w:r>
    </w:p>
    <w:p>
      <w:pPr>
        <w:pStyle w:val="3"/>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eastAsia" w:ascii="宋体" w:hAnsi="宋体" w:eastAsia="宋体" w:cs="Times New Roman"/>
          <w:color w:val="auto"/>
          <w:sz w:val="28"/>
          <w:szCs w:val="28"/>
        </w:rPr>
      </w:pPr>
      <w:r>
        <w:rPr>
          <w:rFonts w:hint="eastAsia" w:ascii="宋体" w:hAnsi="宋体" w:eastAsia="宋体" w:cs="Times New Roman"/>
          <w:color w:val="auto"/>
          <w:sz w:val="28"/>
          <w:szCs w:val="28"/>
        </w:rPr>
        <w:t>5、未尽事宜，经双方协商一致，签订补充协议，补充协议与本合同具有同等效力。</w:t>
      </w:r>
    </w:p>
    <w:p>
      <w:pPr>
        <w:pStyle w:val="3"/>
        <w:spacing w:line="440" w:lineRule="exact"/>
        <w:ind w:firstLine="480"/>
        <w:rPr>
          <w:rFonts w:hint="eastAsia" w:ascii="宋体" w:hAnsi="宋体" w:eastAsia="宋体" w:cs="Times New Roman"/>
          <w:color w:val="auto"/>
          <w:sz w:val="28"/>
          <w:szCs w:val="28"/>
        </w:rPr>
      </w:pPr>
    </w:p>
    <w:tbl>
      <w:tblPr>
        <w:tblStyle w:val="8"/>
        <w:tblpPr w:leftFromText="180" w:rightFromText="180" w:vertAnchor="text" w:horzAnchor="page" w:tblpX="1507" w:tblpY="199"/>
        <w:tblOverlap w:val="never"/>
        <w:tblW w:w="9227" w:type="dxa"/>
        <w:tblInd w:w="0" w:type="dxa"/>
        <w:tblLayout w:type="fixed"/>
        <w:tblCellMar>
          <w:top w:w="0" w:type="dxa"/>
          <w:left w:w="0" w:type="dxa"/>
          <w:bottom w:w="0" w:type="dxa"/>
          <w:right w:w="0" w:type="dxa"/>
        </w:tblCellMar>
      </w:tblPr>
      <w:tblGrid>
        <w:gridCol w:w="1989"/>
        <w:gridCol w:w="2595"/>
        <w:gridCol w:w="1875"/>
        <w:gridCol w:w="2768"/>
      </w:tblGrid>
      <w:tr>
        <w:tblPrEx>
          <w:tblCellMar>
            <w:top w:w="0" w:type="dxa"/>
            <w:left w:w="0" w:type="dxa"/>
            <w:bottom w:w="0" w:type="dxa"/>
            <w:right w:w="0" w:type="dxa"/>
          </w:tblCellMar>
        </w:tblPrEx>
        <w:trPr>
          <w:trHeight w:val="745"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241" w:firstLineChars="10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委 托 人：</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河池市</w:t>
            </w:r>
            <w:r>
              <w:rPr>
                <w:rFonts w:hint="eastAsia" w:ascii="仿宋_GB2312" w:hAnsi="宋体" w:eastAsia="仿宋_GB2312" w:cs="仿宋_GB2312"/>
                <w:b/>
                <w:bCs/>
                <w:i w:val="0"/>
                <w:color w:val="auto"/>
                <w:spacing w:val="0"/>
                <w:kern w:val="0"/>
                <w:sz w:val="24"/>
                <w:szCs w:val="24"/>
                <w:u w:val="none"/>
                <w:lang w:val="en-US" w:eastAsia="zh-CN" w:bidi="ar"/>
              </w:rPr>
              <w:t>城市投资建设发展</w:t>
            </w:r>
            <w:r>
              <w:rPr>
                <w:rFonts w:hint="default" w:ascii="仿宋_GB2312" w:hAnsi="宋体" w:eastAsia="仿宋_GB2312" w:cs="仿宋_GB2312"/>
                <w:b/>
                <w:bCs/>
                <w:i w:val="0"/>
                <w:color w:val="auto"/>
                <w:spacing w:val="0"/>
                <w:kern w:val="0"/>
                <w:sz w:val="24"/>
                <w:szCs w:val="24"/>
                <w:u w:val="none"/>
                <w:lang w:val="en-US" w:eastAsia="zh-CN" w:bidi="ar"/>
              </w:rPr>
              <w:t>有限公司</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241" w:firstLineChars="10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r>
              <w:rPr>
                <w:rFonts w:hint="eastAsia" w:ascii="仿宋_GB2312" w:hAnsi="宋体" w:eastAsia="仿宋_GB2312" w:cs="仿宋_GB2312"/>
                <w:b/>
                <w:bCs/>
                <w:i w:val="0"/>
                <w:color w:val="auto"/>
                <w:spacing w:val="0"/>
                <w:kern w:val="0"/>
                <w:sz w:val="24"/>
                <w:szCs w:val="24"/>
                <w:u w:val="none"/>
                <w:lang w:val="en-US" w:eastAsia="zh-CN" w:bidi="ar"/>
              </w:rPr>
              <w:t xml:space="preserve">咨 询 人：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p>
        </w:tc>
      </w:tr>
      <w:tr>
        <w:tblPrEx>
          <w:tblCellMar>
            <w:top w:w="0" w:type="dxa"/>
            <w:left w:w="0" w:type="dxa"/>
            <w:bottom w:w="0" w:type="dxa"/>
            <w:right w:w="0" w:type="dxa"/>
          </w:tblCellMar>
        </w:tblPrEx>
        <w:trPr>
          <w:trHeight w:val="123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法定代表人或其授权</w:t>
            </w:r>
            <w:r>
              <w:rPr>
                <w:rFonts w:hint="eastAsia" w:ascii="仿宋_GB2312" w:hAnsi="宋体" w:eastAsia="仿宋_GB2312" w:cs="仿宋_GB2312"/>
                <w:b/>
                <w:bCs/>
                <w:i w:val="0"/>
                <w:color w:val="auto"/>
                <w:spacing w:val="0"/>
                <w:kern w:val="0"/>
                <w:sz w:val="24"/>
                <w:szCs w:val="24"/>
                <w:u w:val="none"/>
                <w:lang w:val="en-US" w:eastAsia="zh-CN" w:bidi="ar"/>
              </w:rPr>
              <w:t>的代理</w:t>
            </w:r>
            <w:r>
              <w:rPr>
                <w:rFonts w:hint="default" w:ascii="仿宋_GB2312" w:hAnsi="宋体" w:eastAsia="仿宋_GB2312" w:cs="仿宋_GB2312"/>
                <w:b/>
                <w:bCs/>
                <w:i w:val="0"/>
                <w:color w:val="auto"/>
                <w:spacing w:val="0"/>
                <w:kern w:val="0"/>
                <w:sz w:val="24"/>
                <w:szCs w:val="24"/>
                <w:u w:val="none"/>
                <w:lang w:val="en-US" w:eastAsia="zh-CN" w:bidi="ar"/>
              </w:rPr>
              <w:t>人（签</w:t>
            </w:r>
            <w:r>
              <w:rPr>
                <w:rFonts w:hint="eastAsia" w:ascii="仿宋_GB2312" w:hAnsi="宋体" w:eastAsia="仿宋_GB2312" w:cs="仿宋_GB2312"/>
                <w:b/>
                <w:bCs/>
                <w:i w:val="0"/>
                <w:color w:val="auto"/>
                <w:spacing w:val="0"/>
                <w:kern w:val="0"/>
                <w:sz w:val="24"/>
                <w:szCs w:val="24"/>
                <w:u w:val="none"/>
                <w:lang w:val="en-US" w:eastAsia="zh-CN" w:bidi="ar"/>
              </w:rPr>
              <w:t>字</w:t>
            </w:r>
            <w:r>
              <w:rPr>
                <w:rFonts w:hint="default" w:ascii="仿宋_GB2312" w:hAnsi="宋体" w:eastAsia="仿宋_GB2312" w:cs="仿宋_GB2312"/>
                <w:b/>
                <w:bCs/>
                <w:i w:val="0"/>
                <w:color w:val="auto"/>
                <w:spacing w:val="0"/>
                <w:kern w:val="0"/>
                <w:sz w:val="24"/>
                <w:szCs w:val="24"/>
                <w:u w:val="none"/>
                <w:lang w:val="en-US" w:eastAsia="zh-CN" w:bidi="ar"/>
              </w:rPr>
              <w:t xml:space="preserve">）：  </w:t>
            </w:r>
            <w:r>
              <w:rPr>
                <w:rFonts w:hint="eastAsia" w:ascii="仿宋_GB2312" w:hAnsi="宋体" w:eastAsia="仿宋_GB2312" w:cs="仿宋_GB2312"/>
                <w:b/>
                <w:bCs/>
                <w:i w:val="0"/>
                <w:color w:val="auto"/>
                <w:spacing w:val="0"/>
                <w:kern w:val="0"/>
                <w:sz w:val="24"/>
                <w:szCs w:val="24"/>
                <w:u w:val="none"/>
                <w:lang w:val="en-US" w:eastAsia="zh-CN" w:bidi="ar"/>
              </w:rPr>
              <w:t xml:space="preserve">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b/>
                <w:bCs/>
                <w:color w:val="auto"/>
                <w:sz w:val="24"/>
                <w:szCs w:val="24"/>
                <w:lang w:val="en-US" w:eastAsia="zh-CN"/>
              </w:rPr>
            </w:pPr>
          </w:p>
          <w:p>
            <w:pPr>
              <w:pStyle w:val="7"/>
              <w:tabs>
                <w:tab w:val="right" w:leader="dot" w:pos="9628"/>
              </w:tabs>
              <w:ind w:left="0" w:leftChars="0" w:firstLine="0" w:firstLineChars="0"/>
              <w:rPr>
                <w:rFonts w:hint="eastAsia"/>
                <w:b/>
                <w:bCs/>
                <w:color w:val="auto"/>
                <w:sz w:val="24"/>
                <w:szCs w:val="24"/>
                <w:lang w:val="en-US" w:eastAsia="zh-CN"/>
              </w:rPr>
            </w:pPr>
          </w:p>
          <w:p>
            <w:pPr>
              <w:rPr>
                <w:rFonts w:hint="default"/>
                <w:b/>
                <w:bCs/>
                <w:color w:val="auto"/>
                <w:sz w:val="24"/>
                <w:szCs w:val="24"/>
                <w:u w:val="single"/>
                <w:lang w:val="en-US" w:eastAsia="zh-CN"/>
              </w:rPr>
            </w:pPr>
            <w:r>
              <w:rPr>
                <w:rFonts w:hint="eastAsia" w:ascii="仿宋_GB2312" w:hAnsi="宋体" w:eastAsia="仿宋_GB2312" w:cs="仿宋_GB2312"/>
                <w:b/>
                <w:bCs/>
                <w:i w:val="0"/>
                <w:color w:val="auto"/>
                <w:spacing w:val="0"/>
                <w:kern w:val="0"/>
                <w:sz w:val="24"/>
                <w:szCs w:val="24"/>
                <w:u w:val="single"/>
                <w:lang w:val="en-US" w:eastAsia="zh-CN" w:bidi="ar"/>
              </w:rPr>
              <w:t xml:space="preserve">                 </w:t>
            </w: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法定代表人或其授权</w:t>
            </w:r>
            <w:r>
              <w:rPr>
                <w:rFonts w:hint="eastAsia" w:ascii="仿宋_GB2312" w:hAnsi="宋体" w:eastAsia="仿宋_GB2312" w:cs="仿宋_GB2312"/>
                <w:b/>
                <w:bCs/>
                <w:i w:val="0"/>
                <w:color w:val="auto"/>
                <w:spacing w:val="0"/>
                <w:kern w:val="0"/>
                <w:sz w:val="24"/>
                <w:szCs w:val="24"/>
                <w:u w:val="none"/>
                <w:lang w:val="en-US" w:eastAsia="zh-CN" w:bidi="ar"/>
              </w:rPr>
              <w:t>的代理</w:t>
            </w:r>
            <w:r>
              <w:rPr>
                <w:rFonts w:hint="default" w:ascii="仿宋_GB2312" w:hAnsi="宋体" w:eastAsia="仿宋_GB2312" w:cs="仿宋_GB2312"/>
                <w:b/>
                <w:bCs/>
                <w:i w:val="0"/>
                <w:color w:val="auto"/>
                <w:spacing w:val="0"/>
                <w:kern w:val="0"/>
                <w:sz w:val="24"/>
                <w:szCs w:val="24"/>
                <w:u w:val="none"/>
                <w:lang w:val="en-US" w:eastAsia="zh-CN" w:bidi="ar"/>
              </w:rPr>
              <w:t>人（签</w:t>
            </w:r>
            <w:r>
              <w:rPr>
                <w:rFonts w:hint="eastAsia" w:ascii="仿宋_GB2312" w:hAnsi="宋体" w:eastAsia="仿宋_GB2312" w:cs="仿宋_GB2312"/>
                <w:b/>
                <w:bCs/>
                <w:i w:val="0"/>
                <w:color w:val="auto"/>
                <w:spacing w:val="0"/>
                <w:kern w:val="0"/>
                <w:sz w:val="24"/>
                <w:szCs w:val="24"/>
                <w:u w:val="none"/>
                <w:lang w:val="en-US" w:eastAsia="zh-CN" w:bidi="ar"/>
              </w:rPr>
              <w:t>字</w:t>
            </w:r>
            <w:r>
              <w:rPr>
                <w:rFonts w:hint="default" w:ascii="仿宋_GB2312" w:hAnsi="宋体" w:eastAsia="仿宋_GB2312" w:cs="仿宋_GB2312"/>
                <w:b/>
                <w:bCs/>
                <w:i w:val="0"/>
                <w:color w:val="auto"/>
                <w:spacing w:val="0"/>
                <w:kern w:val="0"/>
                <w:sz w:val="24"/>
                <w:szCs w:val="24"/>
                <w:u w:val="none"/>
                <w:lang w:val="en-US" w:eastAsia="zh-CN" w:bidi="ar"/>
              </w:rPr>
              <w:t xml:space="preserve">）：  </w:t>
            </w:r>
            <w:r>
              <w:rPr>
                <w:rFonts w:hint="eastAsia" w:ascii="仿宋_GB2312" w:hAnsi="宋体" w:eastAsia="仿宋_GB2312" w:cs="仿宋_GB2312"/>
                <w:b/>
                <w:bCs/>
                <w:i w:val="0"/>
                <w:color w:val="auto"/>
                <w:spacing w:val="0"/>
                <w:kern w:val="0"/>
                <w:sz w:val="24"/>
                <w:szCs w:val="24"/>
                <w:u w:val="none"/>
                <w:lang w:val="en-US" w:eastAsia="zh-CN" w:bidi="ar"/>
              </w:rPr>
              <w:t xml:space="preserve">      </w:t>
            </w:r>
            <w:r>
              <w:rPr>
                <w:rFonts w:hint="default" w:ascii="仿宋_GB2312" w:hAnsi="宋体" w:eastAsia="仿宋_GB2312" w:cs="仿宋_GB2312"/>
                <w:b/>
                <w:bCs/>
                <w:i w:val="0"/>
                <w:color w:val="auto"/>
                <w:spacing w:val="0"/>
                <w:kern w:val="0"/>
                <w:sz w:val="24"/>
                <w:szCs w:val="24"/>
                <w:u w:val="none"/>
                <w:lang w:val="en-US" w:eastAsia="zh-CN" w:bidi="ar"/>
              </w:rPr>
              <w:t xml:space="preserve">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b/>
                <w:bCs/>
                <w:color w:val="auto"/>
                <w:sz w:val="24"/>
                <w:szCs w:val="24"/>
                <w:lang w:val="en-US" w:eastAsia="zh-CN"/>
              </w:rPr>
            </w:pPr>
          </w:p>
          <w:p>
            <w:pPr>
              <w:pStyle w:val="2"/>
              <w:rPr>
                <w:rFonts w:hint="eastAsia"/>
                <w:b/>
                <w:bCs/>
                <w:color w:val="auto"/>
                <w:sz w:val="24"/>
                <w:szCs w:val="24"/>
                <w:lang w:val="en-US" w:eastAsia="zh-CN"/>
              </w:rPr>
            </w:pPr>
          </w:p>
          <w:p>
            <w:pPr>
              <w:rPr>
                <w:rFonts w:hint="default"/>
                <w:b/>
                <w:bCs/>
                <w:color w:val="auto"/>
                <w:sz w:val="24"/>
                <w:szCs w:val="24"/>
                <w:u w:val="single"/>
                <w:lang w:val="en-US" w:eastAsia="zh-CN"/>
              </w:rPr>
            </w:pPr>
            <w:r>
              <w:rPr>
                <w:rFonts w:hint="eastAsia" w:ascii="仿宋_GB2312" w:hAnsi="宋体" w:eastAsia="仿宋_GB2312" w:cs="仿宋_GB2312"/>
                <w:b/>
                <w:bCs/>
                <w:i w:val="0"/>
                <w:color w:val="auto"/>
                <w:spacing w:val="0"/>
                <w:kern w:val="0"/>
                <w:sz w:val="24"/>
                <w:szCs w:val="24"/>
                <w:u w:val="single"/>
                <w:lang w:val="en-US" w:eastAsia="zh-CN" w:bidi="ar"/>
              </w:rPr>
              <w:t xml:space="preserve">                   </w:t>
            </w:r>
          </w:p>
        </w:tc>
      </w:tr>
      <w:tr>
        <w:tblPrEx>
          <w:tblCellMar>
            <w:top w:w="0" w:type="dxa"/>
            <w:left w:w="0" w:type="dxa"/>
            <w:bottom w:w="0" w:type="dxa"/>
            <w:right w:w="0" w:type="dxa"/>
          </w:tblCellMar>
        </w:tblPrEx>
        <w:trPr>
          <w:trHeight w:val="697"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eastAsia" w:ascii="仿宋_GB2312" w:eastAsia="仿宋_GB2312" w:cs="仿宋_GB2312"/>
                <w:b/>
                <w:bCs/>
                <w:i w:val="0"/>
                <w:color w:val="auto"/>
                <w:spacing w:val="0"/>
                <w:kern w:val="0"/>
                <w:sz w:val="24"/>
                <w:szCs w:val="24"/>
                <w:u w:val="none"/>
                <w:lang w:val="en-US" w:eastAsia="zh-CN" w:bidi="ar"/>
              </w:rPr>
              <w:t>经办人：</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r>
              <w:rPr>
                <w:rFonts w:hint="eastAsia" w:ascii="仿宋_GB2312" w:eastAsia="仿宋_GB2312" w:cs="仿宋_GB2312"/>
                <w:b/>
                <w:bCs/>
                <w:i w:val="0"/>
                <w:color w:val="auto"/>
                <w:spacing w:val="0"/>
                <w:kern w:val="0"/>
                <w:sz w:val="24"/>
                <w:szCs w:val="24"/>
                <w:u w:val="none"/>
                <w:lang w:val="en-US" w:eastAsia="zh-CN" w:bidi="ar"/>
              </w:rPr>
              <w:t>经办人：</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r>
      <w:tr>
        <w:tblPrEx>
          <w:tblCellMar>
            <w:top w:w="0" w:type="dxa"/>
            <w:left w:w="0" w:type="dxa"/>
            <w:bottom w:w="0" w:type="dxa"/>
            <w:right w:w="0" w:type="dxa"/>
          </w:tblCellMar>
        </w:tblPrEx>
        <w:trPr>
          <w:trHeight w:val="562"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纳税人识别码</w:t>
            </w:r>
            <w:r>
              <w:rPr>
                <w:rFonts w:hint="eastAsia" w:ascii="仿宋_GB2312" w:hAnsi="宋体" w:eastAsia="仿宋_GB2312" w:cs="仿宋_GB2312"/>
                <w:b/>
                <w:bCs/>
                <w:i w:val="0"/>
                <w:color w:val="auto"/>
                <w:spacing w:val="0"/>
                <w:kern w:val="0"/>
                <w:sz w:val="24"/>
                <w:szCs w:val="24"/>
                <w:u w:val="none"/>
                <w:lang w:val="en-US" w:eastAsia="zh-CN" w:bidi="ar"/>
              </w:rPr>
              <w:t>：</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r>
              <w:rPr>
                <w:rFonts w:hint="eastAsia" w:ascii="仿宋_GB2312" w:hAnsi="宋体" w:eastAsia="仿宋_GB2312" w:cs="仿宋_GB2312"/>
                <w:b/>
                <w:bCs/>
                <w:i w:val="0"/>
                <w:color w:val="auto"/>
                <w:spacing w:val="0"/>
                <w:kern w:val="0"/>
                <w:sz w:val="24"/>
                <w:szCs w:val="24"/>
                <w:u w:val="none"/>
                <w:lang w:val="en-US" w:eastAsia="zh-CN" w:bidi="ar"/>
              </w:rPr>
              <w:t>纳税人识别码：</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r>
      <w:tr>
        <w:tblPrEx>
          <w:tblCellMar>
            <w:top w:w="0" w:type="dxa"/>
            <w:left w:w="0" w:type="dxa"/>
            <w:bottom w:w="0" w:type="dxa"/>
            <w:right w:w="0" w:type="dxa"/>
          </w:tblCellMar>
        </w:tblPrEx>
        <w:trPr>
          <w:trHeight w:val="675"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单位地址：</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r>
              <w:rPr>
                <w:rFonts w:hint="eastAsia" w:ascii="仿宋_GB2312" w:hAnsi="宋体" w:eastAsia="仿宋_GB2312" w:cs="仿宋_GB2312"/>
                <w:b/>
                <w:bCs/>
                <w:i w:val="0"/>
                <w:color w:val="auto"/>
                <w:spacing w:val="0"/>
                <w:kern w:val="0"/>
                <w:sz w:val="24"/>
                <w:szCs w:val="24"/>
                <w:u w:val="none"/>
                <w:lang w:val="en-US" w:eastAsia="zh-CN" w:bidi="ar"/>
              </w:rPr>
              <w:t xml:space="preserve">单位地址：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r>
      <w:tr>
        <w:tblPrEx>
          <w:tblCellMar>
            <w:top w:w="0" w:type="dxa"/>
            <w:left w:w="0" w:type="dxa"/>
            <w:bottom w:w="0" w:type="dxa"/>
            <w:right w:w="0" w:type="dxa"/>
          </w:tblCellMar>
        </w:tblPrEx>
        <w:trPr>
          <w:trHeight w:val="405"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 xml:space="preserve">邮政编码：          </w:t>
            </w:r>
            <w:r>
              <w:rPr>
                <w:rFonts w:hint="eastAsia" w:ascii="仿宋_GB2312" w:hAnsi="宋体" w:eastAsia="仿宋_GB2312" w:cs="仿宋_GB2312"/>
                <w:b/>
                <w:bCs/>
                <w:i w:val="0"/>
                <w:color w:val="auto"/>
                <w:spacing w:val="0"/>
                <w:kern w:val="0"/>
                <w:sz w:val="24"/>
                <w:szCs w:val="24"/>
                <w:u w:val="none"/>
                <w:lang w:val="en-US" w:eastAsia="zh-CN" w:bidi="ar"/>
              </w:rPr>
              <w:t xml:space="preserve">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r>
              <w:rPr>
                <w:rFonts w:hint="eastAsia" w:ascii="仿宋_GB2312" w:hAnsi="宋体" w:eastAsia="仿宋_GB2312" w:cs="仿宋_GB2312"/>
                <w:b/>
                <w:bCs/>
                <w:i w:val="0"/>
                <w:color w:val="auto"/>
                <w:spacing w:val="0"/>
                <w:kern w:val="0"/>
                <w:sz w:val="24"/>
                <w:szCs w:val="24"/>
                <w:u w:val="none"/>
                <w:lang w:val="en-US" w:eastAsia="zh-CN" w:bidi="ar"/>
              </w:rPr>
              <w:t xml:space="preserve">邮政编码：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r>
      <w:tr>
        <w:tblPrEx>
          <w:tblCellMar>
            <w:top w:w="0" w:type="dxa"/>
            <w:left w:w="0" w:type="dxa"/>
            <w:bottom w:w="0" w:type="dxa"/>
            <w:right w:w="0" w:type="dxa"/>
          </w:tblCellMar>
        </w:tblPrEx>
        <w:trPr>
          <w:trHeight w:val="45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电   话：</w:t>
            </w:r>
            <w:r>
              <w:rPr>
                <w:rFonts w:hint="eastAsia" w:ascii="仿宋_GB2312" w:hAnsi="宋体" w:eastAsia="仿宋_GB2312" w:cs="仿宋_GB2312"/>
                <w:b/>
                <w:bCs/>
                <w:i w:val="0"/>
                <w:color w:val="auto"/>
                <w:spacing w:val="0"/>
                <w:kern w:val="0"/>
                <w:sz w:val="24"/>
                <w:szCs w:val="24"/>
                <w:u w:val="none"/>
                <w:lang w:val="en-US" w:eastAsia="zh-CN" w:bidi="ar"/>
              </w:rPr>
              <w:t xml:space="preserve">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r>
              <w:rPr>
                <w:rFonts w:hint="eastAsia" w:ascii="仿宋_GB2312" w:hAnsi="宋体" w:eastAsia="仿宋_GB2312" w:cs="仿宋_GB2312"/>
                <w:b/>
                <w:bCs/>
                <w:i w:val="0"/>
                <w:color w:val="auto"/>
                <w:spacing w:val="0"/>
                <w:kern w:val="0"/>
                <w:sz w:val="24"/>
                <w:szCs w:val="24"/>
                <w:u w:val="none"/>
                <w:lang w:val="en-US" w:eastAsia="zh-CN" w:bidi="ar"/>
              </w:rPr>
              <w:t>电   话：</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r>
      <w:tr>
        <w:tblPrEx>
          <w:tblCellMar>
            <w:top w:w="0" w:type="dxa"/>
            <w:left w:w="0" w:type="dxa"/>
            <w:bottom w:w="0" w:type="dxa"/>
            <w:right w:w="0" w:type="dxa"/>
          </w:tblCellMar>
        </w:tblPrEx>
        <w:trPr>
          <w:trHeight w:val="495"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eastAsia" w:ascii="仿宋_GB2312" w:hAnsi="宋体" w:eastAsia="仿宋_GB2312" w:cs="仿宋_GB2312"/>
                <w:b/>
                <w:bCs/>
                <w:i w:val="0"/>
                <w:color w:val="auto"/>
                <w:spacing w:val="0"/>
                <w:kern w:val="0"/>
                <w:sz w:val="24"/>
                <w:szCs w:val="24"/>
                <w:u w:val="none"/>
                <w:lang w:val="en-US" w:eastAsia="zh-CN" w:bidi="ar"/>
              </w:rPr>
              <w:t>电子信箱：</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r>
              <w:rPr>
                <w:rFonts w:hint="eastAsia" w:ascii="仿宋_GB2312" w:hAnsi="宋体" w:eastAsia="仿宋_GB2312" w:cs="仿宋_GB2312"/>
                <w:b/>
                <w:bCs/>
                <w:i w:val="0"/>
                <w:color w:val="auto"/>
                <w:spacing w:val="0"/>
                <w:kern w:val="0"/>
                <w:sz w:val="24"/>
                <w:szCs w:val="24"/>
                <w:u w:val="none"/>
                <w:lang w:val="en-US" w:eastAsia="zh-CN" w:bidi="ar"/>
              </w:rPr>
              <w:t>电子信箱：</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r>
      <w:tr>
        <w:tblPrEx>
          <w:tblCellMar>
            <w:top w:w="0" w:type="dxa"/>
            <w:left w:w="0" w:type="dxa"/>
            <w:bottom w:w="0" w:type="dxa"/>
            <w:right w:w="0" w:type="dxa"/>
          </w:tblCellMar>
        </w:tblPrEx>
        <w:trPr>
          <w:trHeight w:val="60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 xml:space="preserve">开户名称：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r>
              <w:rPr>
                <w:rFonts w:hint="eastAsia" w:ascii="仿宋_GB2312" w:hAnsi="宋体" w:eastAsia="仿宋_GB2312" w:cs="仿宋_GB2312"/>
                <w:b/>
                <w:bCs/>
                <w:i w:val="0"/>
                <w:color w:val="auto"/>
                <w:spacing w:val="0"/>
                <w:kern w:val="0"/>
                <w:sz w:val="24"/>
                <w:szCs w:val="24"/>
                <w:u w:val="none"/>
                <w:lang w:val="en-US" w:eastAsia="zh-CN" w:bidi="ar"/>
              </w:rPr>
              <w:t xml:space="preserve">开户名称：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p>
        </w:tc>
      </w:tr>
      <w:tr>
        <w:tblPrEx>
          <w:tblCellMar>
            <w:top w:w="0" w:type="dxa"/>
            <w:left w:w="0" w:type="dxa"/>
            <w:bottom w:w="0" w:type="dxa"/>
            <w:right w:w="0" w:type="dxa"/>
          </w:tblCellMar>
        </w:tblPrEx>
        <w:trPr>
          <w:trHeight w:val="45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 xml:space="preserve">开户银行：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tabs>
                <w:tab w:val="right" w:pos="2565"/>
              </w:tabs>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r>
              <w:rPr>
                <w:rFonts w:hint="eastAsia" w:ascii="仿宋_GB2312" w:hAnsi="宋体" w:eastAsia="仿宋_GB2312" w:cs="仿宋_GB2312"/>
                <w:b/>
                <w:bCs/>
                <w:i w:val="0"/>
                <w:color w:val="auto"/>
                <w:spacing w:val="0"/>
                <w:kern w:val="0"/>
                <w:sz w:val="24"/>
                <w:szCs w:val="24"/>
                <w:u w:val="none"/>
                <w:lang w:val="en-US" w:eastAsia="zh-CN" w:bidi="ar"/>
              </w:rPr>
              <w:t>开户银行：</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p>
        </w:tc>
      </w:tr>
      <w:tr>
        <w:tblPrEx>
          <w:tblCellMar>
            <w:top w:w="0" w:type="dxa"/>
            <w:left w:w="0" w:type="dxa"/>
            <w:bottom w:w="0" w:type="dxa"/>
            <w:right w:w="0" w:type="dxa"/>
          </w:tblCellMar>
        </w:tblPrEx>
        <w:trPr>
          <w:trHeight w:val="600" w:hRule="atLeast"/>
        </w:trPr>
        <w:tc>
          <w:tcPr>
            <w:tcW w:w="198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r>
              <w:rPr>
                <w:rFonts w:hint="default" w:ascii="仿宋_GB2312" w:hAnsi="宋体" w:eastAsia="仿宋_GB2312" w:cs="仿宋_GB2312"/>
                <w:b/>
                <w:bCs/>
                <w:i w:val="0"/>
                <w:color w:val="auto"/>
                <w:spacing w:val="0"/>
                <w:kern w:val="0"/>
                <w:sz w:val="24"/>
                <w:szCs w:val="24"/>
                <w:u w:val="none"/>
                <w:lang w:val="en-US" w:eastAsia="zh-CN" w:bidi="ar"/>
              </w:rPr>
              <w:t xml:space="preserve">银行账号：                    </w:t>
            </w:r>
          </w:p>
        </w:tc>
        <w:tc>
          <w:tcPr>
            <w:tcW w:w="259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p>
        </w:tc>
        <w:tc>
          <w:tcPr>
            <w:tcW w:w="1875"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宋体" w:eastAsia="仿宋_GB2312" w:cs="仿宋_GB2312"/>
                <w:b/>
                <w:bCs/>
                <w:i w:val="0"/>
                <w:color w:val="auto"/>
                <w:spacing w:val="0"/>
                <w:kern w:val="0"/>
                <w:sz w:val="24"/>
                <w:szCs w:val="24"/>
                <w:u w:val="none"/>
                <w:lang w:val="en-US" w:eastAsia="zh-CN" w:bidi="ar"/>
              </w:rPr>
            </w:pPr>
            <w:r>
              <w:rPr>
                <w:rFonts w:hint="eastAsia" w:ascii="仿宋_GB2312" w:hAnsi="宋体" w:eastAsia="仿宋_GB2312" w:cs="仿宋_GB2312"/>
                <w:b/>
                <w:bCs/>
                <w:i w:val="0"/>
                <w:color w:val="auto"/>
                <w:spacing w:val="0"/>
                <w:kern w:val="0"/>
                <w:sz w:val="24"/>
                <w:szCs w:val="24"/>
                <w:u w:val="none"/>
                <w:lang w:val="en-US" w:eastAsia="zh-CN" w:bidi="ar"/>
              </w:rPr>
              <w:t xml:space="preserve">银行账号：                                   </w:t>
            </w:r>
          </w:p>
        </w:tc>
        <w:tc>
          <w:tcPr>
            <w:tcW w:w="276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宋体" w:eastAsia="仿宋_GB2312" w:cs="仿宋_GB2312"/>
                <w:b/>
                <w:bCs/>
                <w:i w:val="0"/>
                <w:color w:val="auto"/>
                <w:spacing w:val="0"/>
                <w:kern w:val="0"/>
                <w:sz w:val="24"/>
                <w:szCs w:val="24"/>
                <w:u w:val="none"/>
                <w:lang w:val="en-US" w:eastAsia="zh-CN" w:bidi="ar"/>
              </w:rPr>
            </w:pPr>
          </w:p>
        </w:tc>
      </w:tr>
    </w:tbl>
    <w:p>
      <w:pPr>
        <w:rPr>
          <w:color w:val="auto"/>
        </w:rPr>
      </w:pPr>
    </w:p>
    <w:sectPr>
      <w:pgSz w:w="11906" w:h="16838"/>
      <w:pgMar w:top="2098" w:right="1474" w:bottom="1276"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3854852-4E1E-432B-B81D-4E800AF1A57F}"/>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C298A06F-4859-4C5A-85C8-B931066AF9AC}"/>
  </w:font>
  <w:font w:name="仿宋">
    <w:panose1 w:val="02010609060101010101"/>
    <w:charset w:val="86"/>
    <w:family w:val="auto"/>
    <w:pitch w:val="default"/>
    <w:sig w:usb0="800002BF" w:usb1="38CF7CFA" w:usb2="00000016" w:usb3="00000000" w:csb0="00040001" w:csb1="00000000"/>
    <w:embedRegular r:id="rId3" w:fontKey="{A25DCA46-6C2B-440B-805D-5D6AD9B5FEAA}"/>
  </w:font>
  <w:font w:name="方正小标宋简体">
    <w:panose1 w:val="03000509000000000000"/>
    <w:charset w:val="86"/>
    <w:family w:val="script"/>
    <w:pitch w:val="default"/>
    <w:sig w:usb0="00000001" w:usb1="080E0000" w:usb2="00000000" w:usb3="00000000" w:csb0="00040000" w:csb1="00000000"/>
    <w:embedRegular r:id="rId4" w:fontKey="{561F22EB-8681-4968-AC5E-840ED1775D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wordWrap w:val="0"/>
      <w:jc w:val="right"/>
      <w:rPr>
        <w:rFonts w:hint="eastAsia"/>
        <w:color w:val="FF0000"/>
      </w:rPr>
    </w:pPr>
    <w:r>
      <w:rPr>
        <w:rFonts w:hint="eastAsia" w:ascii="Arial" w:hAnsi="Arial" w:cs="Arial"/>
        <w:color w:val="FF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05AC0"/>
    <w:rsid w:val="00BA00D7"/>
    <w:rsid w:val="04890AD8"/>
    <w:rsid w:val="06346D69"/>
    <w:rsid w:val="09AF1630"/>
    <w:rsid w:val="0A123FDA"/>
    <w:rsid w:val="0B6D664C"/>
    <w:rsid w:val="0B9E6089"/>
    <w:rsid w:val="0DE76397"/>
    <w:rsid w:val="0E2D5C24"/>
    <w:rsid w:val="129149D2"/>
    <w:rsid w:val="134A3779"/>
    <w:rsid w:val="14C55443"/>
    <w:rsid w:val="16B920AD"/>
    <w:rsid w:val="16C709FC"/>
    <w:rsid w:val="1A4B7622"/>
    <w:rsid w:val="1F33044B"/>
    <w:rsid w:val="2313245B"/>
    <w:rsid w:val="24D70497"/>
    <w:rsid w:val="24F05AC0"/>
    <w:rsid w:val="256352E8"/>
    <w:rsid w:val="25E17DC2"/>
    <w:rsid w:val="28664E5E"/>
    <w:rsid w:val="2B2F0885"/>
    <w:rsid w:val="2B3D1258"/>
    <w:rsid w:val="2BDB15F2"/>
    <w:rsid w:val="31D56AD4"/>
    <w:rsid w:val="336F4828"/>
    <w:rsid w:val="33DA615A"/>
    <w:rsid w:val="34C00EA2"/>
    <w:rsid w:val="354163DC"/>
    <w:rsid w:val="35C85ACE"/>
    <w:rsid w:val="3BC304DD"/>
    <w:rsid w:val="3BD441A5"/>
    <w:rsid w:val="3C8F7468"/>
    <w:rsid w:val="3EAC5299"/>
    <w:rsid w:val="413C792B"/>
    <w:rsid w:val="42AB1CCB"/>
    <w:rsid w:val="42EC67A4"/>
    <w:rsid w:val="443C0F93"/>
    <w:rsid w:val="460531EC"/>
    <w:rsid w:val="4A727067"/>
    <w:rsid w:val="4FDE20F2"/>
    <w:rsid w:val="4FE2731F"/>
    <w:rsid w:val="53524826"/>
    <w:rsid w:val="542B13A7"/>
    <w:rsid w:val="57B349A3"/>
    <w:rsid w:val="59033B64"/>
    <w:rsid w:val="59426073"/>
    <w:rsid w:val="5A0117D8"/>
    <w:rsid w:val="5A6D5632"/>
    <w:rsid w:val="5AC630CB"/>
    <w:rsid w:val="62D93996"/>
    <w:rsid w:val="63F27399"/>
    <w:rsid w:val="641D35ED"/>
    <w:rsid w:val="668273CA"/>
    <w:rsid w:val="66DD0699"/>
    <w:rsid w:val="69406F9B"/>
    <w:rsid w:val="6CC907AF"/>
    <w:rsid w:val="723C775D"/>
    <w:rsid w:val="78DF1978"/>
    <w:rsid w:val="7C0F0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jc w:val="center"/>
    </w:pPr>
    <w:rPr>
      <w:sz w:val="52"/>
    </w:rPr>
  </w:style>
  <w:style w:type="paragraph" w:styleId="3">
    <w:name w:val="Body Text Indent"/>
    <w:basedOn w:val="1"/>
    <w:unhideWhenUsed/>
    <w:qFormat/>
    <w:uiPriority w:val="0"/>
    <w:pPr>
      <w:ind w:firstLine="640" w:firstLineChars="200"/>
    </w:pPr>
    <w:rPr>
      <w:kern w:val="0"/>
      <w:sz w:val="32"/>
    </w:rPr>
  </w:style>
  <w:style w:type="paragraph" w:styleId="4">
    <w:name w:val="Plain Text"/>
    <w:basedOn w:val="1"/>
    <w:qFormat/>
    <w:uiPriority w:val="0"/>
    <w:rPr>
      <w:rFonts w:ascii="宋体" w:hAnsi="Courier New"/>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semiHidden/>
    <w:qFormat/>
    <w:uiPriority w:val="0"/>
    <w:pPr>
      <w:ind w:left="210"/>
      <w:jc w:val="left"/>
    </w:pPr>
    <w:rPr>
      <w:rFonts w:ascii="Times New Roman" w:hAnsi="Times New Roman"/>
      <w:smallCaps/>
      <w:sz w:val="20"/>
    </w:rPr>
  </w:style>
  <w:style w:type="paragraph" w:customStyle="1" w:styleId="10">
    <w:name w:val="表格文字"/>
    <w:basedOn w:val="1"/>
    <w:qFormat/>
    <w:uiPriority w:val="0"/>
    <w:pPr>
      <w:spacing w:before="25" w:after="25"/>
      <w:jc w:val="left"/>
    </w:pPr>
    <w:rPr>
      <w:bCs/>
      <w:spacing w:val="10"/>
      <w:kern w:val="0"/>
      <w:sz w:val="24"/>
      <w:szCs w:val="20"/>
    </w:rPr>
  </w:style>
  <w:style w:type="paragraph" w:customStyle="1" w:styleId="11">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2021-08-03T09:10:00Z</dcterms:created>
  <dc:creator>川爺</dc:creator>
  <cp:lastModifiedBy>河池市城投公司</cp:lastModifiedBy>
  <cp:lastPrinted>2021-10-15T08:58:00Z</cp:lastPrinted>
  <dcterms:modified xsi:type="dcterms:W3CDTF">2021-10-15T09:00:21Z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2634854A0AE84006AD71A671302645C1</vt:lpwstr>
  </property>
</Properties>
</file>